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EastAsia" w:hAnsiTheme="minorEastAsia"/>
          <w:b/>
          <w:sz w:val="36"/>
          <w:szCs w:val="28"/>
          <w:lang w:val="en-US" w:eastAsia="zh-CN"/>
        </w:rPr>
      </w:pPr>
      <w:bookmarkStart w:id="0" w:name="_GoBack"/>
      <w:bookmarkEnd w:id="0"/>
    </w:p>
    <w:p>
      <w:pPr>
        <w:jc w:val="center"/>
        <w:rPr>
          <w:rFonts w:asciiTheme="minorEastAsia" w:hAnsiTheme="minorEastAsia"/>
          <w:b/>
          <w:sz w:val="36"/>
          <w:szCs w:val="28"/>
          <w:lang w:val="en-US" w:eastAsia="zh-CN"/>
        </w:rPr>
      </w:pPr>
    </w:p>
    <w:p>
      <w:pPr>
        <w:jc w:val="center"/>
        <w:rPr>
          <w:rFonts w:asciiTheme="minorEastAsia" w:hAnsiTheme="minorEastAsia"/>
          <w:b/>
          <w:sz w:val="36"/>
          <w:szCs w:val="28"/>
          <w:lang w:val="en-US" w:eastAsia="zh-CN"/>
        </w:rPr>
      </w:pPr>
    </w:p>
    <w:p>
      <w:pPr>
        <w:jc w:val="center"/>
        <w:rPr>
          <w:rFonts w:asciiTheme="minorEastAsia" w:hAnsiTheme="minorEastAsia"/>
          <w:b/>
          <w:sz w:val="36"/>
          <w:szCs w:val="28"/>
          <w:lang w:val="en-US" w:eastAsia="zh-CN"/>
        </w:rPr>
      </w:pPr>
      <w:r>
        <w:rPr>
          <w:rFonts w:hint="eastAsia" w:asciiTheme="minorEastAsia" w:hAnsiTheme="minorEastAsia"/>
          <w:b/>
          <w:sz w:val="36"/>
          <w:szCs w:val="28"/>
          <w:lang w:val="en-US" w:eastAsia="zh-CN"/>
        </w:rPr>
        <w:t>瑞再企商保险有限公司</w:t>
      </w:r>
    </w:p>
    <w:p>
      <w:pPr>
        <w:jc w:val="center"/>
        <w:rPr>
          <w:rFonts w:asciiTheme="minorEastAsia" w:hAnsiTheme="minorEastAsia"/>
          <w:b/>
          <w:sz w:val="36"/>
          <w:szCs w:val="28"/>
          <w:lang w:val="en-US" w:eastAsia="zh-CN"/>
        </w:rPr>
      </w:pPr>
      <w:r>
        <w:rPr>
          <w:rFonts w:hint="eastAsia" w:asciiTheme="minorEastAsia" w:hAnsiTheme="minorEastAsia"/>
          <w:b/>
          <w:sz w:val="36"/>
          <w:szCs w:val="28"/>
          <w:lang w:val="en-US" w:eastAsia="zh-CN"/>
        </w:rPr>
        <w:t>2</w:t>
      </w:r>
      <w:r>
        <w:rPr>
          <w:rFonts w:asciiTheme="minorEastAsia" w:hAnsiTheme="minorEastAsia"/>
          <w:b/>
          <w:sz w:val="36"/>
          <w:szCs w:val="28"/>
          <w:lang w:val="en-US" w:eastAsia="zh-CN"/>
        </w:rPr>
        <w:t>018年重大关联交易</w:t>
      </w:r>
      <w:r>
        <w:rPr>
          <w:rFonts w:hint="eastAsia" w:asciiTheme="minorEastAsia" w:hAnsiTheme="minorEastAsia"/>
          <w:b/>
          <w:sz w:val="36"/>
          <w:szCs w:val="28"/>
          <w:lang w:val="en-US" w:eastAsia="zh-CN"/>
        </w:rPr>
        <w:t>披露</w:t>
      </w:r>
    </w:p>
    <w:p>
      <w:pPr>
        <w:jc w:val="center"/>
        <w:rPr>
          <w:rFonts w:asciiTheme="minorEastAsia" w:hAnsiTheme="minorEastAsia"/>
          <w:b/>
          <w:sz w:val="36"/>
          <w:szCs w:val="28"/>
          <w:lang w:val="en-US" w:eastAsia="zh-CN"/>
        </w:rPr>
      </w:pPr>
    </w:p>
    <w:p>
      <w:pPr>
        <w:jc w:val="center"/>
        <w:rPr>
          <w:rFonts w:asciiTheme="minorEastAsia" w:hAnsiTheme="minorEastAsia"/>
          <w:b/>
          <w:sz w:val="36"/>
          <w:szCs w:val="28"/>
          <w:lang w:val="en-US" w:eastAsia="zh-CN"/>
        </w:rPr>
      </w:pPr>
    </w:p>
    <w:p>
      <w:pPr>
        <w:jc w:val="center"/>
        <w:rPr>
          <w:rFonts w:asciiTheme="minorEastAsia" w:hAnsiTheme="minorEastAsia"/>
          <w:b/>
          <w:sz w:val="36"/>
          <w:szCs w:val="28"/>
          <w:lang w:val="en-US" w:eastAsia="zh-CN"/>
        </w:rPr>
      </w:pPr>
    </w:p>
    <w:p>
      <w:pPr>
        <w:jc w:val="center"/>
        <w:rPr>
          <w:rFonts w:asciiTheme="minorEastAsia" w:hAnsiTheme="minorEastAsia"/>
          <w:b/>
          <w:sz w:val="36"/>
          <w:szCs w:val="28"/>
          <w:lang w:val="en-US" w:eastAsia="zh-CN"/>
        </w:rPr>
      </w:pPr>
    </w:p>
    <w:p>
      <w:pPr>
        <w:jc w:val="center"/>
        <w:rPr>
          <w:rFonts w:asciiTheme="minorEastAsia" w:hAnsiTheme="minorEastAsia"/>
          <w:b/>
          <w:sz w:val="36"/>
          <w:szCs w:val="28"/>
          <w:lang w:val="en-US" w:eastAsia="zh-CN"/>
        </w:rPr>
      </w:pPr>
    </w:p>
    <w:p>
      <w:pPr>
        <w:jc w:val="center"/>
        <w:rPr>
          <w:rFonts w:asciiTheme="minorEastAsia" w:hAnsiTheme="minorEastAsia"/>
          <w:b/>
          <w:sz w:val="36"/>
          <w:szCs w:val="28"/>
          <w:lang w:val="en-US" w:eastAsia="zh-CN"/>
        </w:rPr>
      </w:pPr>
    </w:p>
    <w:p>
      <w:pPr>
        <w:jc w:val="center"/>
        <w:rPr>
          <w:rFonts w:asciiTheme="minorEastAsia" w:hAnsiTheme="minorEastAsia"/>
          <w:b/>
          <w:sz w:val="36"/>
          <w:szCs w:val="28"/>
          <w:lang w:val="en-US" w:eastAsia="zh-CN"/>
        </w:rPr>
      </w:pPr>
    </w:p>
    <w:p>
      <w:pPr>
        <w:jc w:val="center"/>
        <w:rPr>
          <w:rFonts w:asciiTheme="minorEastAsia" w:hAnsiTheme="minorEastAsia"/>
          <w:b/>
          <w:sz w:val="36"/>
          <w:szCs w:val="28"/>
          <w:lang w:val="en-US" w:eastAsia="zh-CN"/>
        </w:rPr>
      </w:pPr>
    </w:p>
    <w:p>
      <w:pPr>
        <w:jc w:val="center"/>
        <w:rPr>
          <w:rFonts w:asciiTheme="minorEastAsia" w:hAnsiTheme="minorEastAsia"/>
          <w:b/>
          <w:sz w:val="36"/>
          <w:szCs w:val="28"/>
          <w:lang w:val="en-US" w:eastAsia="zh-CN"/>
        </w:rPr>
      </w:pPr>
    </w:p>
    <w:p>
      <w:pPr>
        <w:jc w:val="center"/>
        <w:rPr>
          <w:rFonts w:asciiTheme="minorEastAsia" w:hAnsiTheme="minorEastAsia"/>
          <w:b/>
          <w:sz w:val="36"/>
          <w:szCs w:val="28"/>
          <w:lang w:val="en-US" w:eastAsia="zh-CN"/>
        </w:rPr>
      </w:pPr>
    </w:p>
    <w:p>
      <w:pPr>
        <w:jc w:val="center"/>
        <w:rPr>
          <w:rFonts w:asciiTheme="minorEastAsia" w:hAnsiTheme="minorEastAsia"/>
          <w:b/>
          <w:sz w:val="36"/>
          <w:szCs w:val="28"/>
          <w:lang w:val="en-US" w:eastAsia="zh-CN"/>
        </w:rPr>
      </w:pPr>
    </w:p>
    <w:p>
      <w:pPr>
        <w:jc w:val="center"/>
        <w:rPr>
          <w:rFonts w:asciiTheme="minorEastAsia" w:hAnsiTheme="minorEastAsia"/>
          <w:b/>
          <w:sz w:val="36"/>
          <w:szCs w:val="28"/>
          <w:lang w:val="en-US" w:eastAsia="zh-CN"/>
        </w:rPr>
      </w:pPr>
    </w:p>
    <w:p>
      <w:pPr>
        <w:jc w:val="center"/>
        <w:rPr>
          <w:rFonts w:asciiTheme="minorEastAsia" w:hAnsiTheme="minorEastAsia"/>
          <w:b/>
          <w:sz w:val="36"/>
          <w:szCs w:val="28"/>
          <w:lang w:val="en-US" w:eastAsia="zh-CN"/>
        </w:rPr>
      </w:pPr>
    </w:p>
    <w:p>
      <w:pPr>
        <w:jc w:val="center"/>
        <w:rPr>
          <w:rFonts w:asciiTheme="minorEastAsia" w:hAnsiTheme="minorEastAsia"/>
          <w:b/>
          <w:sz w:val="36"/>
          <w:szCs w:val="28"/>
          <w:lang w:val="en-US" w:eastAsia="zh-CN"/>
        </w:rPr>
      </w:pPr>
    </w:p>
    <w:p>
      <w:pPr>
        <w:jc w:val="center"/>
        <w:rPr>
          <w:rFonts w:asciiTheme="minorEastAsia" w:hAnsiTheme="minorEastAsia"/>
          <w:b/>
          <w:sz w:val="36"/>
          <w:szCs w:val="28"/>
          <w:lang w:val="en-US" w:eastAsia="zh-CN"/>
        </w:rPr>
      </w:pPr>
    </w:p>
    <w:p>
      <w:pPr>
        <w:jc w:val="center"/>
        <w:rPr>
          <w:rFonts w:asciiTheme="minorEastAsia" w:hAnsiTheme="minorEastAsia"/>
          <w:b/>
          <w:sz w:val="36"/>
          <w:szCs w:val="28"/>
          <w:lang w:val="en-US" w:eastAsia="zh-CN"/>
        </w:rPr>
      </w:pPr>
    </w:p>
    <w:p>
      <w:pPr>
        <w:jc w:val="center"/>
        <w:rPr>
          <w:rFonts w:asciiTheme="minorEastAsia" w:hAnsiTheme="minorEastAsia"/>
          <w:sz w:val="36"/>
          <w:szCs w:val="28"/>
          <w:lang w:val="en-US" w:eastAsia="zh-CN"/>
        </w:rPr>
      </w:pPr>
      <w:r>
        <w:rPr>
          <w:rFonts w:hint="eastAsia" w:asciiTheme="minorEastAsia" w:hAnsiTheme="minorEastAsia"/>
          <w:sz w:val="36"/>
          <w:szCs w:val="28"/>
          <w:lang w:val="en-US" w:eastAsia="zh-CN"/>
        </w:rPr>
        <w:t>披露人</w:t>
      </w:r>
      <w:r>
        <w:rPr>
          <w:rFonts w:asciiTheme="minorEastAsia" w:hAnsiTheme="minorEastAsia"/>
          <w:sz w:val="36"/>
          <w:szCs w:val="28"/>
          <w:lang w:val="en-US" w:eastAsia="zh-CN"/>
        </w:rPr>
        <w:t>：瑞再企商保险有限公司</w:t>
      </w:r>
    </w:p>
    <w:p>
      <w:pPr>
        <w:jc w:val="center"/>
        <w:rPr>
          <w:rFonts w:asciiTheme="minorEastAsia" w:hAnsiTheme="minorEastAsia"/>
          <w:sz w:val="36"/>
          <w:szCs w:val="28"/>
          <w:lang w:val="en-US" w:eastAsia="zh-CN"/>
        </w:rPr>
      </w:pPr>
      <w:r>
        <w:rPr>
          <w:rFonts w:hint="eastAsia" w:asciiTheme="minorEastAsia" w:hAnsiTheme="minorEastAsia"/>
          <w:sz w:val="36"/>
          <w:szCs w:val="28"/>
          <w:lang w:val="en-US" w:eastAsia="zh-CN"/>
        </w:rPr>
        <w:t>披露时间</w:t>
      </w:r>
      <w:r>
        <w:rPr>
          <w:rFonts w:asciiTheme="minorEastAsia" w:hAnsiTheme="minorEastAsia"/>
          <w:sz w:val="36"/>
          <w:szCs w:val="28"/>
          <w:lang w:val="en-US" w:eastAsia="zh-CN"/>
        </w:rPr>
        <w:t>：</w:t>
      </w:r>
      <w:r>
        <w:rPr>
          <w:rFonts w:hint="eastAsia" w:asciiTheme="minorEastAsia" w:hAnsiTheme="minorEastAsia"/>
          <w:sz w:val="36"/>
          <w:szCs w:val="28"/>
          <w:lang w:val="en-US" w:eastAsia="zh-CN"/>
        </w:rPr>
        <w:t>2</w:t>
      </w:r>
      <w:r>
        <w:rPr>
          <w:rFonts w:asciiTheme="minorEastAsia" w:hAnsiTheme="minorEastAsia"/>
          <w:sz w:val="36"/>
          <w:szCs w:val="28"/>
          <w:lang w:val="en-US" w:eastAsia="zh-CN"/>
        </w:rPr>
        <w:t>018年3月14日</w:t>
      </w:r>
    </w:p>
    <w:p>
      <w:pPr>
        <w:rPr>
          <w:rFonts w:asciiTheme="minorEastAsia" w:hAnsiTheme="minorEastAsia"/>
          <w:b/>
          <w:sz w:val="36"/>
          <w:szCs w:val="28"/>
          <w:lang w:val="en-US" w:eastAsia="zh-CN"/>
        </w:rPr>
      </w:pPr>
      <w:r>
        <w:rPr>
          <w:rFonts w:asciiTheme="minorEastAsia" w:hAnsiTheme="minorEastAsia"/>
          <w:b/>
          <w:sz w:val="36"/>
          <w:szCs w:val="28"/>
          <w:lang w:val="en-US" w:eastAsia="zh-CN"/>
        </w:rPr>
        <w:br w:type="page"/>
      </w:r>
    </w:p>
    <w:p>
      <w:pPr>
        <w:spacing w:line="360" w:lineRule="auto"/>
        <w:ind w:firstLine="560" w:firstLineChars="200"/>
        <w:rPr>
          <w:rFonts w:asciiTheme="minorEastAsia" w:hAnsiTheme="minorEastAsia"/>
          <w:color w:val="000000"/>
          <w:sz w:val="28"/>
          <w:szCs w:val="28"/>
          <w:lang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根据</w:t>
      </w:r>
      <w:r>
        <w:rPr>
          <w:rFonts w:asciiTheme="minorEastAsia" w:hAnsiTheme="minorEastAsia"/>
          <w:sz w:val="28"/>
          <w:szCs w:val="28"/>
          <w:lang w:val="en-US" w:eastAsia="zh-CN"/>
        </w:rPr>
        <w:t>保监发</w:t>
      </w:r>
      <w:r>
        <w:rPr>
          <w:rFonts w:hint="eastAsia" w:asciiTheme="minorEastAsia" w:hAnsiTheme="minorEastAsia"/>
          <w:color w:val="000000"/>
          <w:sz w:val="28"/>
          <w:szCs w:val="28"/>
          <w:lang w:eastAsia="zh-CN"/>
        </w:rPr>
        <w:t>[20</w:t>
      </w:r>
      <w:r>
        <w:rPr>
          <w:rFonts w:asciiTheme="minorEastAsia" w:hAnsiTheme="minorEastAsia"/>
          <w:color w:val="000000"/>
          <w:sz w:val="28"/>
          <w:szCs w:val="28"/>
          <w:lang w:eastAsia="zh-CN"/>
        </w:rPr>
        <w:t>16</w:t>
      </w:r>
      <w:r>
        <w:rPr>
          <w:rFonts w:hint="eastAsia" w:asciiTheme="minorEastAsia" w:hAnsiTheme="minorEastAsia"/>
          <w:color w:val="000000"/>
          <w:sz w:val="28"/>
          <w:szCs w:val="28"/>
          <w:lang w:eastAsia="zh-CN"/>
        </w:rPr>
        <w:t>]</w:t>
      </w:r>
      <w:r>
        <w:rPr>
          <w:rFonts w:asciiTheme="minorEastAsia" w:hAnsiTheme="minorEastAsia"/>
          <w:color w:val="000000"/>
          <w:sz w:val="28"/>
          <w:szCs w:val="28"/>
          <w:lang w:eastAsia="zh-CN"/>
        </w:rPr>
        <w:t>52</w:t>
      </w:r>
      <w:r>
        <w:rPr>
          <w:rFonts w:hint="eastAsia" w:asciiTheme="minorEastAsia" w:hAnsiTheme="minorEastAsia"/>
          <w:color w:val="000000"/>
          <w:sz w:val="28"/>
          <w:szCs w:val="28"/>
          <w:lang w:eastAsia="zh-CN"/>
        </w:rPr>
        <w:t>号《中国保监会</w:t>
      </w:r>
      <w:r>
        <w:rPr>
          <w:rFonts w:asciiTheme="minorEastAsia" w:hAnsiTheme="minorEastAsia"/>
          <w:color w:val="000000"/>
          <w:sz w:val="28"/>
          <w:szCs w:val="28"/>
          <w:lang w:eastAsia="zh-CN"/>
        </w:rPr>
        <w:t>关于进一步加强保险公司关联交易信息披露工作有关问题的通知》</w:t>
      </w:r>
      <w:r>
        <w:rPr>
          <w:rFonts w:hint="eastAsia" w:asciiTheme="minorEastAsia" w:hAnsiTheme="minorEastAsia"/>
          <w:color w:val="000000"/>
          <w:sz w:val="28"/>
          <w:szCs w:val="28"/>
          <w:lang w:eastAsia="zh-CN"/>
        </w:rPr>
        <w:t>，</w:t>
      </w:r>
      <w:r>
        <w:rPr>
          <w:rFonts w:asciiTheme="minorEastAsia" w:hAnsiTheme="minorEastAsia"/>
          <w:color w:val="000000"/>
          <w:sz w:val="28"/>
          <w:szCs w:val="28"/>
          <w:lang w:eastAsia="zh-CN"/>
        </w:rPr>
        <w:t>现对我公司重大关联交易情况进行报告和披露。</w:t>
      </w:r>
    </w:p>
    <w:p>
      <w:pPr>
        <w:spacing w:line="360" w:lineRule="auto"/>
        <w:ind w:firstLine="560" w:firstLineChars="200"/>
        <w:rPr>
          <w:rFonts w:asciiTheme="minorEastAsia" w:hAnsiTheme="minorEastAsia"/>
          <w:color w:val="000000"/>
          <w:sz w:val="28"/>
          <w:szCs w:val="28"/>
          <w:lang w:eastAsia="zh-CN"/>
        </w:rPr>
      </w:pPr>
    </w:p>
    <w:p>
      <w:pPr>
        <w:spacing w:line="360" w:lineRule="auto"/>
        <w:ind w:firstLine="560" w:firstLineChars="200"/>
        <w:rPr>
          <w:rFonts w:asciiTheme="minorEastAsia" w:hAnsiTheme="minorEastAsia"/>
          <w:color w:val="000000"/>
          <w:sz w:val="28"/>
          <w:szCs w:val="28"/>
          <w:lang w:eastAsia="zh-CN"/>
        </w:rPr>
      </w:pPr>
      <w:r>
        <w:rPr>
          <w:rFonts w:hint="eastAsia" w:asciiTheme="minorEastAsia" w:hAnsiTheme="minorEastAsia"/>
          <w:color w:val="000000"/>
          <w:sz w:val="28"/>
          <w:szCs w:val="28"/>
          <w:lang w:eastAsia="zh-CN"/>
        </w:rPr>
        <w:t>一</w:t>
      </w:r>
      <w:r>
        <w:rPr>
          <w:rFonts w:asciiTheme="minorEastAsia" w:hAnsiTheme="minorEastAsia"/>
          <w:color w:val="000000"/>
          <w:sz w:val="28"/>
          <w:szCs w:val="28"/>
          <w:lang w:eastAsia="zh-CN"/>
        </w:rPr>
        <w:t>、关联交易概述及交易标的的基本情况</w:t>
      </w:r>
    </w:p>
    <w:p>
      <w:pPr>
        <w:spacing w:line="360" w:lineRule="auto"/>
        <w:ind w:firstLine="560" w:firstLineChars="200"/>
        <w:rPr>
          <w:rFonts w:asciiTheme="minorEastAsia" w:hAnsiTheme="minorEastAsia"/>
          <w:color w:val="000000"/>
          <w:sz w:val="28"/>
          <w:szCs w:val="28"/>
          <w:lang w:eastAsia="zh-CN"/>
        </w:rPr>
      </w:pPr>
      <w:r>
        <w:rPr>
          <w:rFonts w:hint="eastAsia" w:asciiTheme="minorEastAsia" w:hAnsiTheme="minorEastAsia"/>
          <w:color w:val="000000"/>
          <w:sz w:val="28"/>
          <w:szCs w:val="28"/>
          <w:lang w:eastAsia="zh-CN"/>
        </w:rPr>
        <w:t>Swiss Re Corporate Solutions Ltd是瑞再企商保险</w:t>
      </w:r>
      <w:r>
        <w:rPr>
          <w:rFonts w:asciiTheme="minorEastAsia" w:hAnsiTheme="minorEastAsia"/>
          <w:color w:val="000000"/>
          <w:sz w:val="28"/>
          <w:szCs w:val="28"/>
          <w:lang w:eastAsia="zh-CN"/>
        </w:rPr>
        <w:t>有限公司</w:t>
      </w:r>
      <w:r>
        <w:rPr>
          <w:rFonts w:hint="eastAsia" w:asciiTheme="minorEastAsia" w:hAnsiTheme="minorEastAsia"/>
          <w:color w:val="000000"/>
          <w:sz w:val="28"/>
          <w:szCs w:val="28"/>
          <w:lang w:eastAsia="zh-CN"/>
        </w:rPr>
        <w:t>的</w:t>
      </w:r>
      <w:r>
        <w:rPr>
          <w:rFonts w:asciiTheme="minorEastAsia" w:hAnsiTheme="minorEastAsia"/>
          <w:color w:val="000000"/>
          <w:sz w:val="28"/>
          <w:szCs w:val="28"/>
          <w:lang w:eastAsia="zh-CN"/>
        </w:rPr>
        <w:t>股东的股东，</w:t>
      </w:r>
      <w:r>
        <w:rPr>
          <w:rFonts w:hint="eastAsia" w:asciiTheme="minorEastAsia" w:hAnsiTheme="minorEastAsia"/>
          <w:color w:val="000000"/>
          <w:sz w:val="28"/>
          <w:szCs w:val="28"/>
          <w:lang w:eastAsia="zh-CN"/>
        </w:rPr>
        <w:t>双方</w:t>
      </w:r>
      <w:r>
        <w:rPr>
          <w:rFonts w:asciiTheme="minorEastAsia" w:hAnsiTheme="minorEastAsia"/>
          <w:color w:val="000000"/>
          <w:sz w:val="28"/>
          <w:szCs w:val="28"/>
          <w:lang w:eastAsia="zh-CN"/>
        </w:rPr>
        <w:t>构成关联方。</w:t>
      </w:r>
      <w:r>
        <w:rPr>
          <w:rFonts w:hint="eastAsia" w:asciiTheme="minorEastAsia" w:hAnsiTheme="minorEastAsia"/>
          <w:color w:val="000000"/>
          <w:sz w:val="28"/>
          <w:szCs w:val="28"/>
          <w:lang w:eastAsia="zh-CN"/>
        </w:rPr>
        <w:t>双方于2</w:t>
      </w:r>
      <w:r>
        <w:rPr>
          <w:rFonts w:asciiTheme="minorEastAsia" w:hAnsiTheme="minorEastAsia"/>
          <w:color w:val="000000"/>
          <w:sz w:val="28"/>
          <w:szCs w:val="28"/>
          <w:lang w:eastAsia="zh-CN"/>
        </w:rPr>
        <w:t>018年3月</w:t>
      </w:r>
      <w:r>
        <w:rPr>
          <w:rFonts w:hint="eastAsia" w:asciiTheme="minorEastAsia" w:hAnsiTheme="minorEastAsia"/>
          <w:color w:val="000000"/>
          <w:sz w:val="28"/>
          <w:szCs w:val="28"/>
          <w:lang w:eastAsia="zh-CN"/>
        </w:rPr>
        <w:t>签署了</w:t>
      </w:r>
      <w:r>
        <w:rPr>
          <w:rFonts w:asciiTheme="minorEastAsia" w:hAnsiTheme="minorEastAsia"/>
          <w:color w:val="000000"/>
          <w:sz w:val="28"/>
          <w:szCs w:val="28"/>
          <w:lang w:eastAsia="zh-CN"/>
        </w:rPr>
        <w:t>两个</w:t>
      </w:r>
      <w:r>
        <w:rPr>
          <w:rFonts w:hint="eastAsia" w:asciiTheme="minorEastAsia" w:hAnsiTheme="minorEastAsia"/>
          <w:color w:val="000000"/>
          <w:sz w:val="28"/>
          <w:szCs w:val="28"/>
          <w:lang w:eastAsia="zh-CN"/>
        </w:rPr>
        <w:t>再保险</w:t>
      </w:r>
      <w:r>
        <w:rPr>
          <w:rFonts w:asciiTheme="minorEastAsia" w:hAnsiTheme="minorEastAsia"/>
          <w:color w:val="000000"/>
          <w:sz w:val="28"/>
          <w:szCs w:val="28"/>
          <w:lang w:eastAsia="zh-CN"/>
        </w:rPr>
        <w:t>合约，分别为</w:t>
      </w:r>
      <w:r>
        <w:rPr>
          <w:rFonts w:hint="eastAsia" w:asciiTheme="minorEastAsia" w:hAnsiTheme="minorEastAsia"/>
          <w:color w:val="000000"/>
          <w:sz w:val="28"/>
          <w:szCs w:val="28"/>
          <w:lang w:eastAsia="zh-CN"/>
        </w:rPr>
        <w:t>201</w:t>
      </w:r>
      <w:r>
        <w:rPr>
          <w:rFonts w:asciiTheme="minorEastAsia" w:hAnsiTheme="minorEastAsia"/>
          <w:color w:val="000000"/>
          <w:sz w:val="28"/>
          <w:szCs w:val="28"/>
          <w:lang w:eastAsia="zh-CN"/>
        </w:rPr>
        <w:t>8</w:t>
      </w:r>
      <w:r>
        <w:rPr>
          <w:rFonts w:hint="eastAsia" w:asciiTheme="minorEastAsia" w:hAnsiTheme="minorEastAsia"/>
          <w:color w:val="000000"/>
          <w:sz w:val="28"/>
          <w:szCs w:val="28"/>
          <w:lang w:eastAsia="zh-CN"/>
        </w:rPr>
        <w:t>年全险种成数再保险合约和201</w:t>
      </w:r>
      <w:r>
        <w:rPr>
          <w:rFonts w:asciiTheme="minorEastAsia" w:hAnsiTheme="minorEastAsia"/>
          <w:color w:val="000000"/>
          <w:sz w:val="28"/>
          <w:szCs w:val="28"/>
          <w:lang w:eastAsia="zh-CN"/>
        </w:rPr>
        <w:t>8</w:t>
      </w:r>
      <w:r>
        <w:rPr>
          <w:rFonts w:hint="eastAsia" w:asciiTheme="minorEastAsia" w:hAnsiTheme="minorEastAsia"/>
          <w:color w:val="000000"/>
          <w:sz w:val="28"/>
          <w:szCs w:val="28"/>
          <w:lang w:eastAsia="zh-CN"/>
        </w:rPr>
        <w:t>年全险种止损再保险合约。</w:t>
      </w:r>
    </w:p>
    <w:p>
      <w:pPr>
        <w:spacing w:line="360" w:lineRule="auto"/>
        <w:ind w:firstLine="560" w:firstLineChars="200"/>
        <w:rPr>
          <w:rFonts w:asciiTheme="minorEastAsia" w:hAnsiTheme="minorEastAsia"/>
          <w:color w:val="000000"/>
          <w:sz w:val="28"/>
          <w:szCs w:val="28"/>
          <w:lang w:eastAsia="zh-CN"/>
        </w:rPr>
      </w:pPr>
    </w:p>
    <w:p>
      <w:pPr>
        <w:spacing w:line="360" w:lineRule="auto"/>
        <w:ind w:firstLine="560" w:firstLineChars="200"/>
        <w:rPr>
          <w:rFonts w:asciiTheme="minorEastAsia" w:hAnsiTheme="minorEastAsia"/>
          <w:color w:val="000000"/>
          <w:sz w:val="28"/>
          <w:szCs w:val="28"/>
          <w:lang w:eastAsia="zh-CN"/>
        </w:rPr>
      </w:pPr>
      <w:r>
        <w:rPr>
          <w:rFonts w:hint="eastAsia" w:asciiTheme="minorEastAsia" w:hAnsiTheme="minorEastAsia"/>
          <w:color w:val="000000"/>
          <w:sz w:val="28"/>
          <w:szCs w:val="28"/>
          <w:lang w:eastAsia="zh-CN"/>
        </w:rPr>
        <w:t>二</w:t>
      </w:r>
      <w:r>
        <w:rPr>
          <w:rFonts w:asciiTheme="minorEastAsia" w:hAnsiTheme="minorEastAsia"/>
          <w:color w:val="000000"/>
          <w:sz w:val="28"/>
          <w:szCs w:val="28"/>
          <w:lang w:eastAsia="zh-CN"/>
        </w:rPr>
        <w:t>、交易对手情况</w:t>
      </w:r>
    </w:p>
    <w:tbl>
      <w:tblPr>
        <w:tblStyle w:val="24"/>
        <w:tblW w:w="98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09"/>
        <w:gridCol w:w="49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4909" w:type="dxa"/>
          </w:tcPr>
          <w:p>
            <w:pPr>
              <w:rPr>
                <w:rFonts w:asciiTheme="minorEastAsia" w:hAnsiTheme="minorEastAsia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color w:val="000000"/>
                <w:sz w:val="28"/>
                <w:szCs w:val="28"/>
                <w:lang w:eastAsia="zh-CN"/>
              </w:rPr>
              <w:t>关联法人名称</w:t>
            </w:r>
          </w:p>
        </w:tc>
        <w:tc>
          <w:tcPr>
            <w:tcW w:w="4911" w:type="dxa"/>
          </w:tcPr>
          <w:p>
            <w:pPr>
              <w:rPr>
                <w:rFonts w:asciiTheme="minorEastAsia" w:hAnsiTheme="minorEastAsia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color w:val="000000"/>
                <w:sz w:val="28"/>
                <w:szCs w:val="28"/>
                <w:lang w:eastAsia="zh-CN"/>
              </w:rPr>
              <w:t>Swiss Re Corporate Solutions Ltd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9" w:type="dxa"/>
          </w:tcPr>
          <w:p>
            <w:pPr>
              <w:rPr>
                <w:rFonts w:asciiTheme="minorEastAsia" w:hAnsiTheme="minorEastAsia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color w:val="000000"/>
                <w:sz w:val="28"/>
                <w:szCs w:val="28"/>
                <w:lang w:eastAsia="zh-CN"/>
              </w:rPr>
              <w:t>企业</w:t>
            </w:r>
            <w:r>
              <w:rPr>
                <w:rFonts w:asciiTheme="minorEastAsia" w:hAnsiTheme="minorEastAsia"/>
                <w:color w:val="000000"/>
                <w:sz w:val="28"/>
                <w:szCs w:val="28"/>
                <w:lang w:eastAsia="zh-CN"/>
              </w:rPr>
              <w:t>类型</w:t>
            </w:r>
          </w:p>
        </w:tc>
        <w:tc>
          <w:tcPr>
            <w:tcW w:w="4911" w:type="dxa"/>
          </w:tcPr>
          <w:p>
            <w:pPr>
              <w:rPr>
                <w:rFonts w:asciiTheme="minorEastAsia" w:hAnsiTheme="minorEastAsia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color w:val="000000"/>
                <w:sz w:val="28"/>
                <w:szCs w:val="28"/>
                <w:lang w:eastAsia="zh-CN"/>
              </w:rPr>
              <w:t>注册在</w:t>
            </w:r>
            <w:r>
              <w:rPr>
                <w:rFonts w:asciiTheme="minorEastAsia" w:hAnsiTheme="minorEastAsia"/>
                <w:color w:val="000000"/>
                <w:sz w:val="28"/>
                <w:szCs w:val="28"/>
                <w:lang w:eastAsia="zh-CN"/>
              </w:rPr>
              <w:t>瑞士的财产保险公司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9" w:type="dxa"/>
          </w:tcPr>
          <w:p>
            <w:pPr>
              <w:rPr>
                <w:rFonts w:asciiTheme="minorEastAsia" w:hAnsiTheme="minorEastAsia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color w:val="000000"/>
                <w:sz w:val="28"/>
                <w:szCs w:val="28"/>
                <w:lang w:eastAsia="zh-CN"/>
              </w:rPr>
              <w:t>经营范围</w:t>
            </w:r>
          </w:p>
        </w:tc>
        <w:tc>
          <w:tcPr>
            <w:tcW w:w="4911" w:type="dxa"/>
          </w:tcPr>
          <w:p>
            <w:pPr>
              <w:rPr>
                <w:rFonts w:asciiTheme="minorEastAsia" w:hAnsiTheme="minorEastAsia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color w:val="000000"/>
                <w:sz w:val="28"/>
                <w:szCs w:val="28"/>
                <w:lang w:eastAsia="zh-CN"/>
              </w:rPr>
              <w:t>财产保险</w:t>
            </w:r>
            <w:r>
              <w:rPr>
                <w:rFonts w:asciiTheme="minorEastAsia" w:hAnsiTheme="minorEastAsia"/>
                <w:color w:val="000000"/>
                <w:sz w:val="28"/>
                <w:szCs w:val="28"/>
                <w:lang w:eastAsia="zh-CN"/>
              </w:rPr>
              <w:t>及其再保险业务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9" w:type="dxa"/>
          </w:tcPr>
          <w:p>
            <w:pPr>
              <w:rPr>
                <w:rFonts w:asciiTheme="minorEastAsia" w:hAnsiTheme="minorEastAsia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color w:val="000000"/>
                <w:sz w:val="28"/>
                <w:szCs w:val="28"/>
                <w:lang w:eastAsia="zh-CN"/>
              </w:rPr>
              <w:t>注册资本</w:t>
            </w:r>
          </w:p>
        </w:tc>
        <w:tc>
          <w:tcPr>
            <w:tcW w:w="4911" w:type="dxa"/>
          </w:tcPr>
          <w:p>
            <w:pPr>
              <w:rPr>
                <w:rFonts w:asciiTheme="minorEastAsia" w:hAnsiTheme="minorEastAsia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color w:val="000000"/>
                <w:sz w:val="28"/>
                <w:szCs w:val="28"/>
                <w:lang w:eastAsia="zh-CN"/>
              </w:rPr>
              <w:t>美金 98,412,605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9" w:type="dxa"/>
          </w:tcPr>
          <w:p>
            <w:pPr>
              <w:rPr>
                <w:rFonts w:asciiTheme="minorEastAsia" w:hAnsiTheme="minorEastAsia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color w:val="000000"/>
                <w:sz w:val="28"/>
                <w:szCs w:val="28"/>
                <w:lang w:eastAsia="zh-CN"/>
              </w:rPr>
              <w:t>关联关系</w:t>
            </w:r>
          </w:p>
        </w:tc>
        <w:tc>
          <w:tcPr>
            <w:tcW w:w="4911" w:type="dxa"/>
          </w:tcPr>
          <w:p>
            <w:pPr>
              <w:rPr>
                <w:rFonts w:asciiTheme="minorEastAsia" w:hAnsiTheme="minorEastAsia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color w:val="000000"/>
                <w:sz w:val="28"/>
                <w:szCs w:val="28"/>
                <w:lang w:eastAsia="zh-CN"/>
              </w:rPr>
              <w:t>为</w:t>
            </w:r>
            <w:r>
              <w:rPr>
                <w:rFonts w:asciiTheme="minorEastAsia" w:hAnsiTheme="minorEastAsia"/>
                <w:color w:val="000000"/>
                <w:sz w:val="28"/>
                <w:szCs w:val="28"/>
                <w:lang w:eastAsia="zh-CN"/>
              </w:rPr>
              <w:t>我司股东的股东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9" w:type="dxa"/>
          </w:tcPr>
          <w:p>
            <w:pPr>
              <w:rPr>
                <w:rFonts w:asciiTheme="minorEastAsia" w:hAnsiTheme="minorEastAsia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color w:val="000000"/>
                <w:sz w:val="28"/>
                <w:szCs w:val="28"/>
                <w:lang w:eastAsia="zh-CN"/>
              </w:rPr>
              <w:t>统一社会</w:t>
            </w:r>
            <w:r>
              <w:rPr>
                <w:rFonts w:asciiTheme="minorEastAsia" w:hAnsiTheme="minorEastAsia"/>
                <w:color w:val="000000"/>
                <w:sz w:val="28"/>
                <w:szCs w:val="28"/>
                <w:lang w:eastAsia="zh-CN"/>
              </w:rPr>
              <w:t>信用代码</w:t>
            </w:r>
          </w:p>
        </w:tc>
        <w:tc>
          <w:tcPr>
            <w:tcW w:w="4911" w:type="dxa"/>
          </w:tcPr>
          <w:p>
            <w:pPr>
              <w:rPr>
                <w:rFonts w:asciiTheme="minorEastAsia" w:hAnsiTheme="minorEastAsia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color w:val="000000"/>
                <w:sz w:val="28"/>
                <w:szCs w:val="28"/>
                <w:lang w:eastAsia="zh-CN"/>
              </w:rPr>
              <w:t>不适用</w:t>
            </w:r>
          </w:p>
        </w:tc>
      </w:tr>
    </w:tbl>
    <w:p>
      <w:pPr>
        <w:spacing w:line="360" w:lineRule="auto"/>
        <w:ind w:firstLine="560" w:firstLineChars="200"/>
        <w:rPr>
          <w:rFonts w:asciiTheme="minorEastAsia" w:hAnsiTheme="minorEastAsia"/>
          <w:color w:val="000000"/>
          <w:sz w:val="28"/>
          <w:szCs w:val="28"/>
          <w:lang w:eastAsia="zh-CN"/>
        </w:rPr>
      </w:pPr>
    </w:p>
    <w:p>
      <w:pPr>
        <w:spacing w:line="360" w:lineRule="auto"/>
        <w:ind w:firstLine="560" w:firstLineChars="200"/>
        <w:rPr>
          <w:rFonts w:asciiTheme="minorEastAsia" w:hAnsiTheme="minorEastAsia"/>
          <w:color w:val="000000"/>
          <w:sz w:val="28"/>
          <w:szCs w:val="28"/>
          <w:lang w:eastAsia="zh-CN"/>
        </w:rPr>
      </w:pPr>
      <w:r>
        <w:rPr>
          <w:rFonts w:hint="eastAsia" w:asciiTheme="minorEastAsia" w:hAnsiTheme="minorEastAsia"/>
          <w:color w:val="000000"/>
          <w:sz w:val="28"/>
          <w:szCs w:val="28"/>
          <w:lang w:eastAsia="zh-CN"/>
        </w:rPr>
        <w:t>三、关联交易</w:t>
      </w:r>
      <w:r>
        <w:rPr>
          <w:rFonts w:asciiTheme="minorEastAsia" w:hAnsiTheme="minorEastAsia"/>
          <w:color w:val="000000"/>
          <w:sz w:val="28"/>
          <w:szCs w:val="28"/>
          <w:lang w:eastAsia="zh-CN"/>
        </w:rPr>
        <w:t>的主要内容和定价政策</w:t>
      </w:r>
    </w:p>
    <w:p>
      <w:pPr>
        <w:spacing w:line="360" w:lineRule="auto"/>
        <w:ind w:firstLine="560" w:firstLineChars="200"/>
        <w:rPr>
          <w:rFonts w:asciiTheme="minorEastAsia" w:hAnsiTheme="minorEastAsia"/>
          <w:color w:val="000000"/>
          <w:sz w:val="28"/>
          <w:szCs w:val="28"/>
          <w:lang w:eastAsia="zh-CN"/>
        </w:rPr>
      </w:pPr>
      <w:r>
        <w:rPr>
          <w:rFonts w:hint="eastAsia" w:asciiTheme="minorEastAsia" w:hAnsiTheme="minorEastAsia"/>
          <w:color w:val="000000"/>
          <w:sz w:val="28"/>
          <w:szCs w:val="28"/>
          <w:lang w:eastAsia="zh-CN"/>
        </w:rPr>
        <w:t>201</w:t>
      </w:r>
      <w:r>
        <w:rPr>
          <w:rFonts w:asciiTheme="minorEastAsia" w:hAnsiTheme="minorEastAsia"/>
          <w:color w:val="000000"/>
          <w:sz w:val="28"/>
          <w:szCs w:val="28"/>
          <w:lang w:eastAsia="zh-CN"/>
        </w:rPr>
        <w:t>8</w:t>
      </w:r>
      <w:r>
        <w:rPr>
          <w:rFonts w:hint="eastAsia" w:asciiTheme="minorEastAsia" w:hAnsiTheme="minorEastAsia"/>
          <w:color w:val="000000"/>
          <w:sz w:val="28"/>
          <w:szCs w:val="28"/>
          <w:lang w:eastAsia="zh-CN"/>
        </w:rPr>
        <w:t>年全险种成数再保险合约：根据瑞再集团内部转分保的定价指引准则，采用目前市场通用的成数分保方式，确保分出比例和摊回手续费符合市场化定价原则，并且不伤害公司或公司股东的利益。</w:t>
      </w:r>
    </w:p>
    <w:p>
      <w:pPr>
        <w:spacing w:line="360" w:lineRule="auto"/>
        <w:ind w:firstLine="560" w:firstLineChars="200"/>
        <w:rPr>
          <w:rFonts w:asciiTheme="minorEastAsia" w:hAnsiTheme="minorEastAsia"/>
          <w:color w:val="000000"/>
          <w:sz w:val="28"/>
          <w:szCs w:val="28"/>
          <w:lang w:eastAsia="zh-CN"/>
        </w:rPr>
      </w:pPr>
      <w:r>
        <w:rPr>
          <w:rFonts w:hint="eastAsia" w:asciiTheme="minorEastAsia" w:hAnsiTheme="minorEastAsia"/>
          <w:color w:val="000000"/>
          <w:sz w:val="28"/>
          <w:szCs w:val="28"/>
          <w:lang w:eastAsia="zh-CN"/>
        </w:rPr>
        <w:t>201</w:t>
      </w:r>
      <w:r>
        <w:rPr>
          <w:rFonts w:asciiTheme="minorEastAsia" w:hAnsiTheme="minorEastAsia"/>
          <w:color w:val="000000"/>
          <w:sz w:val="28"/>
          <w:szCs w:val="28"/>
          <w:lang w:eastAsia="zh-CN"/>
        </w:rPr>
        <w:t>8</w:t>
      </w:r>
      <w:r>
        <w:rPr>
          <w:rFonts w:hint="eastAsia" w:asciiTheme="minorEastAsia" w:hAnsiTheme="minorEastAsia"/>
          <w:color w:val="000000"/>
          <w:sz w:val="28"/>
          <w:szCs w:val="28"/>
          <w:lang w:eastAsia="zh-CN"/>
        </w:rPr>
        <w:t>年全险种止损再保险合约：同样地，止损再保险合约以瑞再集团内部转分保的定价指引准则为基础，根据公平的原则定价，按照市场化原则操作，不会损害公司或公司股东利益。</w:t>
      </w:r>
    </w:p>
    <w:p>
      <w:pPr>
        <w:spacing w:line="360" w:lineRule="auto"/>
        <w:ind w:firstLine="560" w:firstLineChars="200"/>
        <w:rPr>
          <w:rFonts w:asciiTheme="minorEastAsia" w:hAnsiTheme="minorEastAsia"/>
          <w:color w:val="000000"/>
          <w:sz w:val="28"/>
          <w:szCs w:val="28"/>
          <w:lang w:eastAsia="zh-CN"/>
        </w:rPr>
      </w:pPr>
    </w:p>
    <w:p>
      <w:pPr>
        <w:spacing w:line="360" w:lineRule="auto"/>
        <w:ind w:firstLine="560" w:firstLineChars="200"/>
        <w:rPr>
          <w:rFonts w:asciiTheme="minorEastAsia" w:hAnsiTheme="minorEastAsia"/>
          <w:color w:val="000000"/>
          <w:sz w:val="28"/>
          <w:szCs w:val="28"/>
          <w:lang w:eastAsia="zh-CN"/>
        </w:rPr>
      </w:pPr>
      <w:r>
        <w:rPr>
          <w:rFonts w:hint="eastAsia" w:asciiTheme="minorEastAsia" w:hAnsiTheme="minorEastAsia"/>
          <w:color w:val="000000"/>
          <w:sz w:val="28"/>
          <w:szCs w:val="28"/>
          <w:lang w:eastAsia="zh-CN"/>
        </w:rPr>
        <w:t>四</w:t>
      </w:r>
      <w:r>
        <w:rPr>
          <w:rFonts w:asciiTheme="minorEastAsia" w:hAnsiTheme="minorEastAsia"/>
          <w:color w:val="000000"/>
          <w:sz w:val="28"/>
          <w:szCs w:val="28"/>
          <w:lang w:eastAsia="zh-CN"/>
        </w:rPr>
        <w:t>、</w:t>
      </w:r>
      <w:r>
        <w:rPr>
          <w:rFonts w:hint="eastAsia" w:asciiTheme="minorEastAsia" w:hAnsiTheme="minorEastAsia"/>
          <w:color w:val="000000"/>
          <w:sz w:val="28"/>
          <w:szCs w:val="28"/>
          <w:lang w:eastAsia="zh-CN"/>
        </w:rPr>
        <w:t>本年度与该关联方已发生的关联交易累计金额</w:t>
      </w:r>
    </w:p>
    <w:p>
      <w:pPr>
        <w:spacing w:line="360" w:lineRule="auto"/>
        <w:ind w:firstLine="560" w:firstLineChars="200"/>
        <w:rPr>
          <w:rFonts w:asciiTheme="minorEastAsia" w:hAnsiTheme="minorEastAsia"/>
          <w:color w:val="000000"/>
          <w:sz w:val="28"/>
          <w:szCs w:val="28"/>
          <w:lang w:eastAsia="zh-CN"/>
        </w:rPr>
      </w:pPr>
      <w:r>
        <w:rPr>
          <w:rFonts w:hint="eastAsia" w:asciiTheme="minorEastAsia" w:hAnsiTheme="minorEastAsia"/>
          <w:color w:val="000000"/>
          <w:sz w:val="28"/>
          <w:szCs w:val="28"/>
          <w:lang w:eastAsia="zh-CN"/>
        </w:rPr>
        <w:t>截至201</w:t>
      </w:r>
      <w:r>
        <w:rPr>
          <w:rFonts w:asciiTheme="minorEastAsia" w:hAnsiTheme="minorEastAsia"/>
          <w:color w:val="000000"/>
          <w:sz w:val="28"/>
          <w:szCs w:val="28"/>
          <w:lang w:eastAsia="zh-CN"/>
        </w:rPr>
        <w:t>7</w:t>
      </w:r>
      <w:r>
        <w:rPr>
          <w:rFonts w:hint="eastAsia" w:asciiTheme="minorEastAsia" w:hAnsiTheme="minorEastAsia"/>
          <w:color w:val="000000"/>
          <w:sz w:val="28"/>
          <w:szCs w:val="28"/>
          <w:lang w:eastAsia="zh-CN"/>
        </w:rPr>
        <w:t>年第四季度末，与该关联方累计已发生金额（绝对金额）为人民币2</w:t>
      </w:r>
      <w:r>
        <w:rPr>
          <w:rFonts w:asciiTheme="minorEastAsia" w:hAnsiTheme="minorEastAsia"/>
          <w:color w:val="000000"/>
          <w:sz w:val="28"/>
          <w:szCs w:val="28"/>
          <w:lang w:eastAsia="zh-CN"/>
        </w:rPr>
        <w:t>5798.4594</w:t>
      </w:r>
      <w:r>
        <w:rPr>
          <w:rFonts w:hint="eastAsia" w:asciiTheme="minorEastAsia" w:hAnsiTheme="minorEastAsia"/>
          <w:color w:val="000000"/>
          <w:sz w:val="28"/>
          <w:szCs w:val="28"/>
          <w:lang w:eastAsia="zh-CN"/>
        </w:rPr>
        <w:t>万元。</w:t>
      </w:r>
    </w:p>
    <w:p>
      <w:pPr>
        <w:spacing w:line="360" w:lineRule="auto"/>
        <w:ind w:firstLine="560" w:firstLineChars="200"/>
        <w:rPr>
          <w:rFonts w:asciiTheme="minorEastAsia" w:hAnsiTheme="minorEastAsia"/>
          <w:color w:val="000000"/>
          <w:sz w:val="28"/>
          <w:szCs w:val="28"/>
          <w:lang w:eastAsia="zh-CN"/>
        </w:rPr>
      </w:pPr>
    </w:p>
    <w:p>
      <w:pPr>
        <w:spacing w:line="360" w:lineRule="auto"/>
        <w:ind w:firstLine="560" w:firstLineChars="200"/>
        <w:rPr>
          <w:rFonts w:asciiTheme="minorEastAsia" w:hAnsiTheme="minorEastAsia"/>
          <w:color w:val="000000"/>
          <w:sz w:val="28"/>
          <w:szCs w:val="28"/>
          <w:lang w:eastAsia="zh-CN"/>
        </w:rPr>
      </w:pPr>
      <w:r>
        <w:rPr>
          <w:rFonts w:hint="eastAsia" w:asciiTheme="minorEastAsia" w:hAnsiTheme="minorEastAsia"/>
          <w:color w:val="000000"/>
          <w:sz w:val="28"/>
          <w:szCs w:val="28"/>
          <w:lang w:eastAsia="zh-CN"/>
        </w:rPr>
        <w:t>五</w:t>
      </w:r>
      <w:r>
        <w:rPr>
          <w:rFonts w:asciiTheme="minorEastAsia" w:hAnsiTheme="minorEastAsia"/>
          <w:color w:val="000000"/>
          <w:sz w:val="28"/>
          <w:szCs w:val="28"/>
          <w:lang w:eastAsia="zh-CN"/>
        </w:rPr>
        <w:t>、</w:t>
      </w:r>
      <w:r>
        <w:rPr>
          <w:rFonts w:hint="eastAsia" w:asciiTheme="minorEastAsia" w:hAnsiTheme="minorEastAsia"/>
          <w:color w:val="000000"/>
          <w:sz w:val="28"/>
          <w:szCs w:val="28"/>
          <w:lang w:eastAsia="zh-CN"/>
        </w:rPr>
        <w:t>中国保监会认为需要披露的其他事项</w:t>
      </w:r>
    </w:p>
    <w:p>
      <w:pPr>
        <w:spacing w:line="360" w:lineRule="auto"/>
        <w:ind w:firstLine="560" w:firstLineChars="200"/>
        <w:rPr>
          <w:rFonts w:asciiTheme="minorEastAsia" w:hAnsiTheme="minorEastAsia"/>
          <w:color w:val="000000"/>
          <w:sz w:val="28"/>
          <w:szCs w:val="28"/>
          <w:lang w:eastAsia="zh-CN"/>
        </w:rPr>
      </w:pPr>
      <w:r>
        <w:rPr>
          <w:rFonts w:hint="eastAsia" w:asciiTheme="minorEastAsia" w:hAnsiTheme="minorEastAsia"/>
          <w:color w:val="000000"/>
          <w:sz w:val="28"/>
          <w:szCs w:val="28"/>
          <w:lang w:eastAsia="zh-CN"/>
        </w:rPr>
        <w:t>不适用</w:t>
      </w:r>
      <w:r>
        <w:rPr>
          <w:rFonts w:asciiTheme="minorEastAsia" w:hAnsiTheme="minorEastAsia"/>
          <w:color w:val="000000"/>
          <w:sz w:val="28"/>
          <w:szCs w:val="28"/>
          <w:lang w:eastAsia="zh-CN"/>
        </w:rPr>
        <w:t>。</w:t>
      </w:r>
    </w:p>
    <w:sectPr>
      <w:headerReference r:id="rId4" w:type="first"/>
      <w:footerReference r:id="rId6" w:type="first"/>
      <w:headerReference r:id="rId3" w:type="default"/>
      <w:footerReference r:id="rId5" w:type="default"/>
      <w:pgSz w:w="12240" w:h="15840"/>
      <w:pgMar w:top="1985" w:right="822" w:bottom="1548" w:left="1588" w:header="567" w:footer="397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0C57E76-FC06-40D3-8237-24C873D129D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SwissReSans">
    <w:panose1 w:val="020B0604020202020204"/>
    <w:charset w:val="00"/>
    <w:family w:val="swiss"/>
    <w:pitch w:val="default"/>
    <w:sig w:usb0="00000000" w:usb1="00000000" w:usb2="00000000" w:usb3="00000000" w:csb0="00000000" w:csb1="00000000"/>
    <w:embedRegular r:id="rId2" w:fontKey="{7F680C0E-88A7-4F32-8DD4-3EFE67740032}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24"/>
      <w:tblW w:w="9830" w:type="dxa"/>
      <w:tblInd w:w="0" w:type="dxa"/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6693"/>
      <w:gridCol w:w="2404"/>
      <w:gridCol w:w="733"/>
    </w:tblGrid>
    <w:tr>
      <w:tblPrEx>
        <w:tblLayout w:type="fixed"/>
      </w:tblPrEx>
      <w:trPr>
        <w:cantSplit/>
        <w:trHeight w:val="20" w:hRule="atLeast"/>
      </w:trPr>
      <w:tc>
        <w:tcPr>
          <w:tcW w:w="6693" w:type="dxa"/>
          <w:vAlign w:val="bottom"/>
        </w:tcPr>
        <w:p/>
      </w:tc>
      <w:tc>
        <w:tcPr>
          <w:tcW w:w="2404" w:type="dxa"/>
          <w:vAlign w:val="bottom"/>
        </w:tcPr>
        <w:p/>
      </w:tc>
      <w:tc>
        <w:tcPr>
          <w:tcW w:w="733" w:type="dxa"/>
          <w:vAlign w:val="bottom"/>
        </w:tcPr>
        <w:p>
          <w:pPr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3</w:t>
          </w:r>
          <w:r>
            <w:fldChar w:fldCharType="end"/>
          </w:r>
        </w:p>
      </w:tc>
    </w:tr>
  </w:tbl>
  <w:p>
    <w:pPr>
      <w:pStyle w:val="15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24"/>
      <w:tblW w:w="9497" w:type="dxa"/>
      <w:tblInd w:w="0" w:type="dxa"/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6466"/>
      <w:gridCol w:w="3031"/>
    </w:tblGrid>
    <w:tr>
      <w:tblPrEx>
        <w:tblLayout w:type="fixed"/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trHeight w:val="20" w:hRule="atLeast"/>
      </w:trPr>
      <w:tc>
        <w:tcPr>
          <w:tcW w:w="6466" w:type="dxa"/>
          <w:vAlign w:val="bottom"/>
        </w:tcPr>
        <w:p>
          <w:pPr>
            <w:rPr>
              <w:sz w:val="12"/>
              <w:szCs w:val="12"/>
            </w:rPr>
          </w:pPr>
        </w:p>
      </w:tc>
      <w:tc>
        <w:tcPr>
          <w:tcW w:w="3031" w:type="dxa"/>
          <w:vAlign w:val="bottom"/>
        </w:tcPr>
        <w:p>
          <w:pPr>
            <w:rPr>
              <w:rFonts w:cs="Times New Roman"/>
              <w:sz w:val="12"/>
              <w:szCs w:val="12"/>
            </w:rPr>
          </w:pPr>
        </w:p>
      </w:tc>
    </w:tr>
  </w:tbl>
  <w:p>
    <w:pPr>
      <w:pStyle w:val="15"/>
      <w:tabs>
        <w:tab w:val="clear" w:pos="4536"/>
        <w:tab w:val="clear" w:pos="9072"/>
      </w:tabs>
      <w:rPr>
        <w:sz w:val="2"/>
        <w:szCs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24"/>
      <w:tblW w:w="10469" w:type="dxa"/>
      <w:tblInd w:w="-624" w:type="dxa"/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5234"/>
      <w:gridCol w:w="5235"/>
    </w:tblGrid>
    <w:tr>
      <w:tblPrEx>
        <w:tblLayout w:type="fixed"/>
        <w:tblCellMar>
          <w:top w:w="0" w:type="dxa"/>
          <w:left w:w="0" w:type="dxa"/>
          <w:bottom w:w="0" w:type="dxa"/>
          <w:right w:w="0" w:type="dxa"/>
        </w:tblCellMar>
      </w:tblPrEx>
      <w:trPr>
        <w:trHeight w:val="964" w:hRule="exact"/>
      </w:trPr>
      <w:sdt>
        <w:sdtPr>
          <w:tag w:val="Logo"/>
          <w:id w:val="-1559170337"/>
        </w:sdtPr>
        <w:sdtContent>
          <w:tc>
            <w:tcPr>
              <w:tcW w:w="5234" w:type="dxa"/>
            </w:tcPr>
            <w:p>
              <w:pPr>
                <w:rPr>
                  <w:sz w:val="2"/>
                  <w:szCs w:val="2"/>
                </w:rPr>
              </w:pPr>
              <w:r>
                <w:rPr>
                  <w:lang w:val="en-US" w:eastAsia="zh-CN"/>
                </w:rPr>
                <w:drawing>
                  <wp:inline distT="0" distB="0" distL="0" distR="0">
                    <wp:extent cx="2223135" cy="500380"/>
                    <wp:effectExtent l="0" t="0" r="5715" b="0"/>
                    <wp:docPr id="4" name="Picture 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4" name="Picture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223769" cy="50040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sdt>
        <w:sdtPr>
          <w:rPr>
            <w:b/>
            <w:color w:val="000000"/>
          </w:rPr>
          <w:alias w:val="Classification"/>
          <w:tag w:val="T_Classification"/>
          <w:id w:val="-861672497"/>
          <w:text/>
        </w:sdtPr>
        <w:sdtEndPr>
          <w:rPr>
            <w:b/>
            <w:color w:val="000000"/>
          </w:rPr>
        </w:sdtEndPr>
        <w:sdtContent>
          <w:tc>
            <w:tcPr>
              <w:tcW w:w="5235" w:type="dxa"/>
            </w:tcPr>
            <w:p>
              <w:pPr>
                <w:jc w:val="right"/>
                <w:rPr>
                  <w:b/>
                </w:rPr>
              </w:pPr>
              <w:r>
                <w:rPr>
                  <w:b/>
                  <w:color w:val="000000"/>
                </w:rPr>
                <w:t xml:space="preserve"> </w:t>
              </w:r>
            </w:p>
          </w:tc>
        </w:sdtContent>
      </w:sdt>
    </w:tr>
  </w:tbl>
  <w:p>
    <w:pPr>
      <w:pStyle w:val="1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sz w:val="2"/>
        <w:szCs w:val="2"/>
      </w:rPr>
    </w:pPr>
    <w:r>
      <w:rPr>
        <w:sz w:val="2"/>
        <w:szCs w:val="2"/>
        <w:lang w:val="en-US" w:eastAsia="zh-CN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252095</wp:posOffset>
              </wp:positionH>
              <wp:positionV relativeFrom="page">
                <wp:posOffset>3780790</wp:posOffset>
              </wp:positionV>
              <wp:extent cx="19050" cy="19050"/>
              <wp:effectExtent l="4445" t="8890" r="5080" b="635"/>
              <wp:wrapNone/>
              <wp:docPr id="1" name="FoldingMa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9050" cy="19050"/>
                      </a:xfrm>
                      <a:prstGeom prst="ellipse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FoldingMark" o:spid="_x0000_s1026" o:spt="3" type="#_x0000_t3" style="position:absolute;left:0pt;margin-left:19.85pt;margin-top:297.7pt;height:1.5pt;width:1.5pt;mso-position-horizontal-relative:page;mso-position-vertical-relative:page;z-index:-251658240;mso-width-relative:page;mso-height-relative:page;" fillcolor="#000000" filled="t" stroked="f" coordsize="21600,21600" o:gfxdata="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f6N+BNkAAAAJAQAADwAAAAAAAAABACAAAAAiAAAAZHJzL2Rvd25yZXYueG1sUEsBAhQA&#10;FAAAAAgAh07iQG7A9J3xAQAA2wMAAA4AAAAAAAAAAQAgAAAAKAEAAGRycy9lMm9Eb2MueG1sUEsF&#10;BgAAAAAGAAYAWQEAAIsFAAAAAA==&#10;"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1"/>
  <w:bordersDoNotSurroundFooter w:val="1"/>
  <w:attachedTemplate r:id="rId1"/>
  <w:documentProtection w:enforcement="0"/>
  <w:styleLockTheme/>
  <w:styleLockQFSet/>
  <w:defaultTabStop w:val="567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iwoEntityID#0" w:val="412"/>
  </w:docVars>
  <w:rsids>
    <w:rsidRoot w:val="00607F84"/>
    <w:rsid w:val="000002F5"/>
    <w:rsid w:val="000003A0"/>
    <w:rsid w:val="00015524"/>
    <w:rsid w:val="000213AD"/>
    <w:rsid w:val="00027CF3"/>
    <w:rsid w:val="00044EE1"/>
    <w:rsid w:val="00045D8E"/>
    <w:rsid w:val="00050E67"/>
    <w:rsid w:val="00077793"/>
    <w:rsid w:val="000A6A1A"/>
    <w:rsid w:val="000D4E0A"/>
    <w:rsid w:val="000D6B19"/>
    <w:rsid w:val="000E7DBB"/>
    <w:rsid w:val="00112829"/>
    <w:rsid w:val="001274D9"/>
    <w:rsid w:val="001470B9"/>
    <w:rsid w:val="001508C1"/>
    <w:rsid w:val="001544B4"/>
    <w:rsid w:val="001545E1"/>
    <w:rsid w:val="0017387F"/>
    <w:rsid w:val="00173DFD"/>
    <w:rsid w:val="0018520F"/>
    <w:rsid w:val="001915FF"/>
    <w:rsid w:val="0019307D"/>
    <w:rsid w:val="001A137A"/>
    <w:rsid w:val="001A3632"/>
    <w:rsid w:val="001B1938"/>
    <w:rsid w:val="001C0371"/>
    <w:rsid w:val="001E0EAC"/>
    <w:rsid w:val="002044D4"/>
    <w:rsid w:val="002104C6"/>
    <w:rsid w:val="00236DA1"/>
    <w:rsid w:val="00263A5B"/>
    <w:rsid w:val="0027137C"/>
    <w:rsid w:val="00286D34"/>
    <w:rsid w:val="00286D5C"/>
    <w:rsid w:val="00287B6D"/>
    <w:rsid w:val="002B28C9"/>
    <w:rsid w:val="002C120D"/>
    <w:rsid w:val="002D1863"/>
    <w:rsid w:val="002D5D28"/>
    <w:rsid w:val="002E5235"/>
    <w:rsid w:val="002F06EF"/>
    <w:rsid w:val="002F1319"/>
    <w:rsid w:val="00310771"/>
    <w:rsid w:val="00320C2B"/>
    <w:rsid w:val="00324035"/>
    <w:rsid w:val="00331751"/>
    <w:rsid w:val="00333DB7"/>
    <w:rsid w:val="003523E2"/>
    <w:rsid w:val="0036723A"/>
    <w:rsid w:val="00367675"/>
    <w:rsid w:val="00371591"/>
    <w:rsid w:val="003801EF"/>
    <w:rsid w:val="00391675"/>
    <w:rsid w:val="003A0F1D"/>
    <w:rsid w:val="003B2553"/>
    <w:rsid w:val="003B4354"/>
    <w:rsid w:val="003C716A"/>
    <w:rsid w:val="003C79B5"/>
    <w:rsid w:val="003D31C3"/>
    <w:rsid w:val="003F7EF6"/>
    <w:rsid w:val="00401DCD"/>
    <w:rsid w:val="0041397C"/>
    <w:rsid w:val="00416D00"/>
    <w:rsid w:val="00420BD6"/>
    <w:rsid w:val="0043017A"/>
    <w:rsid w:val="00435496"/>
    <w:rsid w:val="004374C9"/>
    <w:rsid w:val="0045235E"/>
    <w:rsid w:val="004528AE"/>
    <w:rsid w:val="0046797B"/>
    <w:rsid w:val="00471B10"/>
    <w:rsid w:val="0047384F"/>
    <w:rsid w:val="00482E64"/>
    <w:rsid w:val="004A6996"/>
    <w:rsid w:val="004B3178"/>
    <w:rsid w:val="004B42C8"/>
    <w:rsid w:val="004C4264"/>
    <w:rsid w:val="004C720C"/>
    <w:rsid w:val="004E62E9"/>
    <w:rsid w:val="004F5611"/>
    <w:rsid w:val="005144DB"/>
    <w:rsid w:val="0052457C"/>
    <w:rsid w:val="00525C0A"/>
    <w:rsid w:val="00527A79"/>
    <w:rsid w:val="0054198C"/>
    <w:rsid w:val="00545029"/>
    <w:rsid w:val="00546E98"/>
    <w:rsid w:val="00550337"/>
    <w:rsid w:val="00550E0B"/>
    <w:rsid w:val="005832CD"/>
    <w:rsid w:val="00596B74"/>
    <w:rsid w:val="00597C76"/>
    <w:rsid w:val="005A3ABC"/>
    <w:rsid w:val="005A65A0"/>
    <w:rsid w:val="005C075E"/>
    <w:rsid w:val="005C68C5"/>
    <w:rsid w:val="005F0383"/>
    <w:rsid w:val="005F1E64"/>
    <w:rsid w:val="005F77D7"/>
    <w:rsid w:val="006027DD"/>
    <w:rsid w:val="00605DFA"/>
    <w:rsid w:val="00607F84"/>
    <w:rsid w:val="00613A5E"/>
    <w:rsid w:val="0062059F"/>
    <w:rsid w:val="006224D5"/>
    <w:rsid w:val="00631D70"/>
    <w:rsid w:val="0063363D"/>
    <w:rsid w:val="00633829"/>
    <w:rsid w:val="00647379"/>
    <w:rsid w:val="00647A5E"/>
    <w:rsid w:val="006526A0"/>
    <w:rsid w:val="006577E8"/>
    <w:rsid w:val="006623BF"/>
    <w:rsid w:val="00666ABD"/>
    <w:rsid w:val="00667E8A"/>
    <w:rsid w:val="006B0765"/>
    <w:rsid w:val="006C24A6"/>
    <w:rsid w:val="006C7073"/>
    <w:rsid w:val="006D77FB"/>
    <w:rsid w:val="006E706F"/>
    <w:rsid w:val="006F16BD"/>
    <w:rsid w:val="006F34E5"/>
    <w:rsid w:val="006F6A4F"/>
    <w:rsid w:val="006F72D0"/>
    <w:rsid w:val="00710021"/>
    <w:rsid w:val="007251EE"/>
    <w:rsid w:val="00735676"/>
    <w:rsid w:val="00737061"/>
    <w:rsid w:val="00750104"/>
    <w:rsid w:val="00755EB7"/>
    <w:rsid w:val="00771393"/>
    <w:rsid w:val="00774F1C"/>
    <w:rsid w:val="00774F46"/>
    <w:rsid w:val="007765FB"/>
    <w:rsid w:val="0078015E"/>
    <w:rsid w:val="00780A38"/>
    <w:rsid w:val="00785083"/>
    <w:rsid w:val="00794445"/>
    <w:rsid w:val="007A6539"/>
    <w:rsid w:val="007A7FE5"/>
    <w:rsid w:val="007C668F"/>
    <w:rsid w:val="007D5B00"/>
    <w:rsid w:val="007E2726"/>
    <w:rsid w:val="007F03AB"/>
    <w:rsid w:val="00802C13"/>
    <w:rsid w:val="0081227E"/>
    <w:rsid w:val="00820DD8"/>
    <w:rsid w:val="00837244"/>
    <w:rsid w:val="0084192C"/>
    <w:rsid w:val="00846742"/>
    <w:rsid w:val="00877043"/>
    <w:rsid w:val="0088376F"/>
    <w:rsid w:val="00884BE6"/>
    <w:rsid w:val="008A3BE2"/>
    <w:rsid w:val="008A5E94"/>
    <w:rsid w:val="008C32E9"/>
    <w:rsid w:val="008C389A"/>
    <w:rsid w:val="008C3C88"/>
    <w:rsid w:val="008D277A"/>
    <w:rsid w:val="008D499E"/>
    <w:rsid w:val="008E144A"/>
    <w:rsid w:val="008E1A94"/>
    <w:rsid w:val="0090693D"/>
    <w:rsid w:val="00913088"/>
    <w:rsid w:val="0092432C"/>
    <w:rsid w:val="0092716E"/>
    <w:rsid w:val="00947071"/>
    <w:rsid w:val="00950C23"/>
    <w:rsid w:val="00951F87"/>
    <w:rsid w:val="00965370"/>
    <w:rsid w:val="009702F1"/>
    <w:rsid w:val="00975EF3"/>
    <w:rsid w:val="00982399"/>
    <w:rsid w:val="0098617A"/>
    <w:rsid w:val="00990852"/>
    <w:rsid w:val="009960F7"/>
    <w:rsid w:val="009A0356"/>
    <w:rsid w:val="009A2FB2"/>
    <w:rsid w:val="009B0B3E"/>
    <w:rsid w:val="009B3540"/>
    <w:rsid w:val="009B3AC0"/>
    <w:rsid w:val="009C6F1C"/>
    <w:rsid w:val="009F228A"/>
    <w:rsid w:val="009F28A7"/>
    <w:rsid w:val="00A025EB"/>
    <w:rsid w:val="00A0378C"/>
    <w:rsid w:val="00A04D30"/>
    <w:rsid w:val="00A05799"/>
    <w:rsid w:val="00A125AC"/>
    <w:rsid w:val="00A170B1"/>
    <w:rsid w:val="00A340BC"/>
    <w:rsid w:val="00A45916"/>
    <w:rsid w:val="00A51E1A"/>
    <w:rsid w:val="00A7240E"/>
    <w:rsid w:val="00A809AF"/>
    <w:rsid w:val="00A85610"/>
    <w:rsid w:val="00A87402"/>
    <w:rsid w:val="00AA3EE6"/>
    <w:rsid w:val="00AA69B2"/>
    <w:rsid w:val="00AC2F4F"/>
    <w:rsid w:val="00AD46A8"/>
    <w:rsid w:val="00AE286A"/>
    <w:rsid w:val="00AE553A"/>
    <w:rsid w:val="00B0417B"/>
    <w:rsid w:val="00B2190B"/>
    <w:rsid w:val="00B242AA"/>
    <w:rsid w:val="00B57F4B"/>
    <w:rsid w:val="00B60B61"/>
    <w:rsid w:val="00B64F27"/>
    <w:rsid w:val="00B671E5"/>
    <w:rsid w:val="00B753C5"/>
    <w:rsid w:val="00B92E36"/>
    <w:rsid w:val="00BA7814"/>
    <w:rsid w:val="00BB1D27"/>
    <w:rsid w:val="00BC3722"/>
    <w:rsid w:val="00BD44F1"/>
    <w:rsid w:val="00BE2779"/>
    <w:rsid w:val="00BE449A"/>
    <w:rsid w:val="00BF29FE"/>
    <w:rsid w:val="00BF4624"/>
    <w:rsid w:val="00BF69E5"/>
    <w:rsid w:val="00BF731D"/>
    <w:rsid w:val="00C12A09"/>
    <w:rsid w:val="00C31BCF"/>
    <w:rsid w:val="00C32E3C"/>
    <w:rsid w:val="00C40909"/>
    <w:rsid w:val="00C50129"/>
    <w:rsid w:val="00C504C4"/>
    <w:rsid w:val="00C7079E"/>
    <w:rsid w:val="00C75079"/>
    <w:rsid w:val="00C90299"/>
    <w:rsid w:val="00C92E3E"/>
    <w:rsid w:val="00CB4185"/>
    <w:rsid w:val="00CE7862"/>
    <w:rsid w:val="00CF22F1"/>
    <w:rsid w:val="00D02C7A"/>
    <w:rsid w:val="00D1483C"/>
    <w:rsid w:val="00D15181"/>
    <w:rsid w:val="00D179CD"/>
    <w:rsid w:val="00D24568"/>
    <w:rsid w:val="00D35F0E"/>
    <w:rsid w:val="00D45B58"/>
    <w:rsid w:val="00D51506"/>
    <w:rsid w:val="00D54C07"/>
    <w:rsid w:val="00D91262"/>
    <w:rsid w:val="00DB189A"/>
    <w:rsid w:val="00DB6395"/>
    <w:rsid w:val="00DC03EA"/>
    <w:rsid w:val="00DC6C8A"/>
    <w:rsid w:val="00DD5072"/>
    <w:rsid w:val="00DE156A"/>
    <w:rsid w:val="00DE5E3B"/>
    <w:rsid w:val="00DF5773"/>
    <w:rsid w:val="00E10886"/>
    <w:rsid w:val="00E14A3B"/>
    <w:rsid w:val="00E16B9A"/>
    <w:rsid w:val="00E2738A"/>
    <w:rsid w:val="00E425D2"/>
    <w:rsid w:val="00E5171E"/>
    <w:rsid w:val="00E635A1"/>
    <w:rsid w:val="00E64657"/>
    <w:rsid w:val="00E66961"/>
    <w:rsid w:val="00E72980"/>
    <w:rsid w:val="00E74597"/>
    <w:rsid w:val="00EA3870"/>
    <w:rsid w:val="00EB1328"/>
    <w:rsid w:val="00EC54BD"/>
    <w:rsid w:val="00EC644C"/>
    <w:rsid w:val="00ED4FA4"/>
    <w:rsid w:val="00EE7B92"/>
    <w:rsid w:val="00EF1A68"/>
    <w:rsid w:val="00EF1F84"/>
    <w:rsid w:val="00EF4F12"/>
    <w:rsid w:val="00F013A0"/>
    <w:rsid w:val="00F03A2A"/>
    <w:rsid w:val="00F06965"/>
    <w:rsid w:val="00F17A2C"/>
    <w:rsid w:val="00F24370"/>
    <w:rsid w:val="00F3593F"/>
    <w:rsid w:val="00F429A8"/>
    <w:rsid w:val="00F50AD4"/>
    <w:rsid w:val="00F54833"/>
    <w:rsid w:val="00F564ED"/>
    <w:rsid w:val="00F71FBF"/>
    <w:rsid w:val="00F7323F"/>
    <w:rsid w:val="00F75610"/>
    <w:rsid w:val="00F76F31"/>
    <w:rsid w:val="00F91D10"/>
    <w:rsid w:val="00FB5492"/>
    <w:rsid w:val="00FB570C"/>
    <w:rsid w:val="00FC4660"/>
    <w:rsid w:val="00FC52BE"/>
    <w:rsid w:val="00FE6381"/>
    <w:rsid w:val="00FF16D0"/>
    <w:rsid w:val="00FF1DC7"/>
    <w:rsid w:val="00FF7060"/>
    <w:rsid w:val="4AD90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SwissReSans" w:hAnsi="SwissReSans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uiPriority="9" w:name="heading 4"/>
    <w:lsdException w:uiPriority="9" w:name="heading 5"/>
    <w:lsdException w:uiPriority="9" w:name="heading 6"/>
    <w:lsdException w:uiPriority="9" w:name="heading 7"/>
    <w:lsdException w:uiPriority="9" w:name="heading 8"/>
    <w:lsdException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iPriority="1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iPriority="11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3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SwissReSans" w:hAnsi="SwissReSans" w:eastAsiaTheme="minorEastAsia" w:cstheme="minorBidi"/>
      <w:sz w:val="22"/>
      <w:szCs w:val="22"/>
      <w:lang w:val="en-GB" w:eastAsia="en-US" w:bidi="ar-SA"/>
    </w:rPr>
  </w:style>
  <w:style w:type="paragraph" w:styleId="2">
    <w:name w:val="heading 1"/>
    <w:basedOn w:val="1"/>
    <w:next w:val="1"/>
    <w:link w:val="27"/>
    <w:qFormat/>
    <w:uiPriority w:val="9"/>
    <w:pPr>
      <w:keepNext/>
      <w:keepLines/>
      <w:spacing w:before="240" w:after="6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3">
    <w:name w:val="heading 2"/>
    <w:basedOn w:val="2"/>
    <w:next w:val="1"/>
    <w:link w:val="28"/>
    <w:qFormat/>
    <w:uiPriority w:val="9"/>
    <w:pPr>
      <w:outlineLvl w:val="1"/>
    </w:pPr>
    <w:rPr>
      <w:b w:val="0"/>
      <w:bCs w:val="0"/>
      <w:szCs w:val="26"/>
    </w:rPr>
  </w:style>
  <w:style w:type="paragraph" w:styleId="4">
    <w:name w:val="heading 3"/>
    <w:basedOn w:val="3"/>
    <w:next w:val="1"/>
    <w:link w:val="30"/>
    <w:qFormat/>
    <w:uiPriority w:val="9"/>
    <w:pPr>
      <w:outlineLvl w:val="2"/>
    </w:pPr>
    <w:rPr>
      <w:b/>
      <w:bCs/>
      <w:sz w:val="26"/>
    </w:rPr>
  </w:style>
  <w:style w:type="paragraph" w:styleId="5">
    <w:name w:val="heading 4"/>
    <w:basedOn w:val="4"/>
    <w:next w:val="1"/>
    <w:link w:val="31"/>
    <w:semiHidden/>
    <w:unhideWhenUsed/>
    <w:uiPriority w:val="9"/>
    <w:pPr>
      <w:outlineLvl w:val="3"/>
    </w:pPr>
    <w:rPr>
      <w:b w:val="0"/>
      <w:bCs w:val="0"/>
      <w:iCs/>
    </w:rPr>
  </w:style>
  <w:style w:type="paragraph" w:styleId="6">
    <w:name w:val="heading 5"/>
    <w:basedOn w:val="5"/>
    <w:next w:val="1"/>
    <w:link w:val="32"/>
    <w:semiHidden/>
    <w:unhideWhenUsed/>
    <w:uiPriority w:val="9"/>
    <w:pPr>
      <w:outlineLvl w:val="4"/>
    </w:pPr>
    <w:rPr>
      <w:b/>
      <w:sz w:val="24"/>
    </w:rPr>
  </w:style>
  <w:style w:type="paragraph" w:styleId="7">
    <w:name w:val="heading 6"/>
    <w:basedOn w:val="6"/>
    <w:next w:val="1"/>
    <w:link w:val="33"/>
    <w:semiHidden/>
    <w:unhideWhenUsed/>
    <w:uiPriority w:val="9"/>
    <w:pPr>
      <w:outlineLvl w:val="5"/>
    </w:pPr>
    <w:rPr>
      <w:b w:val="0"/>
      <w:i/>
      <w:iCs w:val="0"/>
    </w:rPr>
  </w:style>
  <w:style w:type="paragraph" w:styleId="8">
    <w:name w:val="heading 7"/>
    <w:basedOn w:val="7"/>
    <w:next w:val="1"/>
    <w:link w:val="34"/>
    <w:semiHidden/>
    <w:unhideWhenUsed/>
    <w:uiPriority w:val="9"/>
    <w:pPr>
      <w:outlineLvl w:val="6"/>
    </w:pPr>
    <w:rPr>
      <w:i w:val="0"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8"/>
    <w:next w:val="1"/>
    <w:link w:val="35"/>
    <w:semiHidden/>
    <w:unhideWhenUsed/>
    <w:uiPriority w:val="9"/>
    <w:pPr>
      <w:outlineLvl w:val="7"/>
    </w:pPr>
    <w:rPr>
      <w:color w:val="auto"/>
      <w:sz w:val="22"/>
      <w:szCs w:val="20"/>
    </w:rPr>
  </w:style>
  <w:style w:type="paragraph" w:styleId="10">
    <w:name w:val="heading 9"/>
    <w:basedOn w:val="9"/>
    <w:next w:val="1"/>
    <w:link w:val="36"/>
    <w:semiHidden/>
    <w:unhideWhenUsed/>
    <w:uiPriority w:val="9"/>
    <w:pPr>
      <w:outlineLvl w:val="8"/>
    </w:pPr>
    <w:rPr>
      <w:i/>
      <w:iCs w:val="0"/>
    </w:rPr>
  </w:style>
  <w:style w:type="character" w:default="1" w:styleId="25">
    <w:name w:val="Default Paragraph Font"/>
    <w:semiHidden/>
    <w:unhideWhenUsed/>
    <w:uiPriority w:val="1"/>
  </w:style>
  <w:style w:type="table" w:default="1" w:styleId="2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semiHidden/>
    <w:unhideWhenUsed/>
    <w:uiPriority w:val="35"/>
    <w:pPr>
      <w:spacing w:after="200"/>
    </w:pPr>
    <w:rPr>
      <w:b/>
      <w:bCs/>
      <w:sz w:val="18"/>
      <w:szCs w:val="18"/>
    </w:rPr>
  </w:style>
  <w:style w:type="paragraph" w:styleId="12">
    <w:name w:val="toa heading"/>
    <w:basedOn w:val="1"/>
    <w:next w:val="1"/>
    <w:semiHidden/>
    <w:unhideWhenUsed/>
    <w:uiPriority w:val="99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13">
    <w:name w:val="annotation text"/>
    <w:basedOn w:val="1"/>
    <w:link w:val="49"/>
    <w:semiHidden/>
    <w:unhideWhenUsed/>
    <w:uiPriority w:val="99"/>
  </w:style>
  <w:style w:type="paragraph" w:styleId="14">
    <w:name w:val="Balloon Text"/>
    <w:basedOn w:val="1"/>
    <w:link w:val="48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15">
    <w:name w:val="footer"/>
    <w:basedOn w:val="1"/>
    <w:link w:val="46"/>
    <w:unhideWhenUsed/>
    <w:uiPriority w:val="99"/>
    <w:pPr>
      <w:tabs>
        <w:tab w:val="center" w:pos="4536"/>
        <w:tab w:val="right" w:pos="9072"/>
      </w:tabs>
    </w:pPr>
  </w:style>
  <w:style w:type="paragraph" w:styleId="16">
    <w:name w:val="header"/>
    <w:basedOn w:val="1"/>
    <w:link w:val="45"/>
    <w:unhideWhenUsed/>
    <w:uiPriority w:val="99"/>
    <w:pPr>
      <w:tabs>
        <w:tab w:val="center" w:pos="4536"/>
        <w:tab w:val="right" w:pos="9072"/>
      </w:tabs>
    </w:pPr>
  </w:style>
  <w:style w:type="paragraph" w:styleId="17">
    <w:name w:val="index heading"/>
    <w:basedOn w:val="1"/>
    <w:next w:val="18"/>
    <w:semiHidden/>
    <w:unhideWhenUsed/>
    <w:uiPriority w:val="99"/>
    <w:rPr>
      <w:rFonts w:eastAsiaTheme="majorEastAsia" w:cstheme="majorBidi"/>
      <w:b/>
      <w:bCs/>
    </w:rPr>
  </w:style>
  <w:style w:type="paragraph" w:styleId="18">
    <w:name w:val="index 1"/>
    <w:basedOn w:val="1"/>
    <w:next w:val="1"/>
    <w:semiHidden/>
    <w:unhideWhenUsed/>
    <w:uiPriority w:val="99"/>
    <w:pPr>
      <w:ind w:left="220" w:hanging="220"/>
    </w:pPr>
  </w:style>
  <w:style w:type="paragraph" w:styleId="19">
    <w:name w:val="Subtitle"/>
    <w:basedOn w:val="1"/>
    <w:next w:val="1"/>
    <w:link w:val="38"/>
    <w:semiHidden/>
    <w:unhideWhenUsed/>
    <w:qFormat/>
    <w:uiPriority w:val="11"/>
    <w:rPr>
      <w:rFonts w:eastAsiaTheme="majorEastAsia" w:cstheme="majorBidi"/>
      <w:b/>
      <w:iCs/>
      <w:sz w:val="24"/>
      <w:szCs w:val="24"/>
    </w:rPr>
  </w:style>
  <w:style w:type="paragraph" w:styleId="20">
    <w:name w:val="Normal (Web)"/>
    <w:basedOn w:val="1"/>
    <w:semiHidden/>
    <w:unhideWhenUsed/>
    <w:qFormat/>
    <w:uiPriority w:val="99"/>
    <w:rPr>
      <w:rFonts w:ascii="Arial" w:hAnsi="Arial" w:cs="Times New Roman"/>
      <w:sz w:val="24"/>
      <w:szCs w:val="24"/>
    </w:rPr>
  </w:style>
  <w:style w:type="paragraph" w:styleId="21">
    <w:name w:val="Title"/>
    <w:basedOn w:val="1"/>
    <w:next w:val="1"/>
    <w:link w:val="37"/>
    <w:semiHidden/>
    <w:unhideWhenUsed/>
    <w:qFormat/>
    <w:uiPriority w:val="10"/>
    <w:pPr>
      <w:contextualSpacing/>
    </w:pPr>
    <w:rPr>
      <w:rFonts w:eastAsiaTheme="majorEastAsia" w:cstheme="majorBidi"/>
      <w:kern w:val="28"/>
      <w:sz w:val="56"/>
      <w:szCs w:val="52"/>
    </w:rPr>
  </w:style>
  <w:style w:type="paragraph" w:styleId="22">
    <w:name w:val="annotation subject"/>
    <w:basedOn w:val="13"/>
    <w:next w:val="13"/>
    <w:link w:val="50"/>
    <w:semiHidden/>
    <w:unhideWhenUsed/>
    <w:qFormat/>
    <w:uiPriority w:val="99"/>
    <w:rPr>
      <w:b/>
      <w:bCs/>
    </w:rPr>
  </w:style>
  <w:style w:type="table" w:styleId="24">
    <w:name w:val="Table Grid"/>
    <w:basedOn w:val="23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26">
    <w:name w:val="annotation reference"/>
    <w:basedOn w:val="25"/>
    <w:semiHidden/>
    <w:unhideWhenUsed/>
    <w:uiPriority w:val="99"/>
    <w:rPr>
      <w:sz w:val="21"/>
      <w:szCs w:val="21"/>
    </w:rPr>
  </w:style>
  <w:style w:type="character" w:customStyle="1" w:styleId="27">
    <w:name w:val="Heading 1 Char"/>
    <w:basedOn w:val="25"/>
    <w:link w:val="2"/>
    <w:uiPriority w:val="9"/>
    <w:rPr>
      <w:rFonts w:eastAsiaTheme="majorEastAsia" w:cstheme="majorBidi"/>
      <w:b/>
      <w:bCs/>
      <w:sz w:val="32"/>
      <w:szCs w:val="28"/>
    </w:rPr>
  </w:style>
  <w:style w:type="character" w:customStyle="1" w:styleId="28">
    <w:name w:val="Heading 2 Char"/>
    <w:basedOn w:val="25"/>
    <w:link w:val="3"/>
    <w:uiPriority w:val="9"/>
    <w:rPr>
      <w:rFonts w:eastAsiaTheme="majorEastAsia" w:cstheme="majorBidi"/>
      <w:sz w:val="32"/>
      <w:szCs w:val="26"/>
    </w:rPr>
  </w:style>
  <w:style w:type="paragraph" w:customStyle="1" w:styleId="29">
    <w:name w:val="TOC Heading"/>
    <w:basedOn w:val="2"/>
    <w:next w:val="1"/>
    <w:semiHidden/>
    <w:unhideWhenUsed/>
    <w:uiPriority w:val="39"/>
    <w:pPr>
      <w:spacing w:before="480" w:after="0"/>
      <w:outlineLvl w:val="9"/>
    </w:pPr>
    <w:rPr>
      <w:sz w:val="28"/>
    </w:rPr>
  </w:style>
  <w:style w:type="character" w:customStyle="1" w:styleId="30">
    <w:name w:val="Heading 3 Char"/>
    <w:basedOn w:val="25"/>
    <w:link w:val="4"/>
    <w:uiPriority w:val="9"/>
    <w:rPr>
      <w:rFonts w:eastAsiaTheme="majorEastAsia" w:cstheme="majorBidi"/>
      <w:b/>
      <w:bCs/>
      <w:sz w:val="26"/>
      <w:szCs w:val="26"/>
    </w:rPr>
  </w:style>
  <w:style w:type="character" w:customStyle="1" w:styleId="31">
    <w:name w:val="Heading 4 Char"/>
    <w:basedOn w:val="25"/>
    <w:link w:val="5"/>
    <w:semiHidden/>
    <w:uiPriority w:val="9"/>
    <w:rPr>
      <w:rFonts w:eastAsiaTheme="majorEastAsia" w:cstheme="majorBidi"/>
      <w:iCs/>
      <w:sz w:val="26"/>
      <w:szCs w:val="26"/>
    </w:rPr>
  </w:style>
  <w:style w:type="character" w:customStyle="1" w:styleId="32">
    <w:name w:val="Heading 5 Char"/>
    <w:basedOn w:val="25"/>
    <w:link w:val="6"/>
    <w:semiHidden/>
    <w:uiPriority w:val="9"/>
    <w:rPr>
      <w:rFonts w:eastAsiaTheme="majorEastAsia" w:cstheme="majorBidi"/>
      <w:b/>
      <w:iCs/>
      <w:sz w:val="24"/>
      <w:szCs w:val="26"/>
    </w:rPr>
  </w:style>
  <w:style w:type="character" w:customStyle="1" w:styleId="33">
    <w:name w:val="Heading 6 Char"/>
    <w:basedOn w:val="25"/>
    <w:link w:val="7"/>
    <w:semiHidden/>
    <w:qFormat/>
    <w:uiPriority w:val="9"/>
    <w:rPr>
      <w:rFonts w:eastAsiaTheme="majorEastAsia" w:cstheme="majorBidi"/>
      <w:i/>
      <w:sz w:val="24"/>
      <w:szCs w:val="26"/>
    </w:rPr>
  </w:style>
  <w:style w:type="character" w:customStyle="1" w:styleId="34">
    <w:name w:val="Heading 7 Char"/>
    <w:basedOn w:val="25"/>
    <w:link w:val="8"/>
    <w:semiHidden/>
    <w:uiPriority w:val="9"/>
    <w:rPr>
      <w:rFonts w:eastAsiaTheme="majorEastAsia" w:cstheme="majorBidi"/>
      <w:iCs/>
      <w:color w:val="404040" w:themeColor="text1" w:themeTint="BF"/>
      <w:sz w:val="24"/>
      <w:szCs w:val="26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5">
    <w:name w:val="Heading 8 Char"/>
    <w:basedOn w:val="25"/>
    <w:link w:val="9"/>
    <w:semiHidden/>
    <w:qFormat/>
    <w:uiPriority w:val="9"/>
    <w:rPr>
      <w:rFonts w:eastAsiaTheme="majorEastAsia" w:cstheme="majorBidi"/>
      <w:iCs/>
      <w:szCs w:val="20"/>
    </w:rPr>
  </w:style>
  <w:style w:type="character" w:customStyle="1" w:styleId="36">
    <w:name w:val="Heading 9 Char"/>
    <w:basedOn w:val="25"/>
    <w:link w:val="10"/>
    <w:semiHidden/>
    <w:uiPriority w:val="9"/>
    <w:rPr>
      <w:rFonts w:eastAsiaTheme="majorEastAsia" w:cstheme="majorBidi"/>
      <w:i/>
      <w:szCs w:val="20"/>
    </w:rPr>
  </w:style>
  <w:style w:type="character" w:customStyle="1" w:styleId="37">
    <w:name w:val="Title Char"/>
    <w:basedOn w:val="25"/>
    <w:link w:val="21"/>
    <w:semiHidden/>
    <w:qFormat/>
    <w:uiPriority w:val="10"/>
    <w:rPr>
      <w:rFonts w:eastAsiaTheme="majorEastAsia" w:cstheme="majorBidi"/>
      <w:kern w:val="28"/>
      <w:sz w:val="56"/>
      <w:szCs w:val="52"/>
    </w:rPr>
  </w:style>
  <w:style w:type="character" w:customStyle="1" w:styleId="38">
    <w:name w:val="Subtitle Char"/>
    <w:basedOn w:val="25"/>
    <w:link w:val="19"/>
    <w:semiHidden/>
    <w:qFormat/>
    <w:uiPriority w:val="11"/>
    <w:rPr>
      <w:rFonts w:eastAsiaTheme="majorEastAsia" w:cstheme="majorBidi"/>
      <w:b/>
      <w:iCs/>
      <w:sz w:val="24"/>
      <w:szCs w:val="24"/>
    </w:rPr>
  </w:style>
  <w:style w:type="character" w:customStyle="1" w:styleId="39">
    <w:name w:val="Subtle Emphasis"/>
    <w:basedOn w:val="25"/>
    <w:semiHidden/>
    <w:unhideWhenUsed/>
    <w:qFormat/>
    <w:uiPriority w:val="19"/>
    <w:rPr>
      <w:i/>
      <w:iCs/>
      <w:color w:val="auto"/>
    </w:rPr>
  </w:style>
  <w:style w:type="paragraph" w:styleId="40">
    <w:name w:val="Intense Quote"/>
    <w:basedOn w:val="1"/>
    <w:next w:val="1"/>
    <w:link w:val="41"/>
    <w:semiHidden/>
    <w:uiPriority w:val="30"/>
    <w:pPr>
      <w:spacing w:before="200" w:after="280"/>
      <w:ind w:left="936" w:right="936"/>
    </w:pPr>
    <w:rPr>
      <w:b/>
      <w:bCs/>
      <w:i/>
      <w:iCs/>
    </w:rPr>
  </w:style>
  <w:style w:type="character" w:customStyle="1" w:styleId="41">
    <w:name w:val="Intense Quote Char"/>
    <w:basedOn w:val="25"/>
    <w:link w:val="40"/>
    <w:semiHidden/>
    <w:uiPriority w:val="30"/>
    <w:rPr>
      <w:b/>
      <w:bCs/>
      <w:i/>
      <w:iCs/>
    </w:rPr>
  </w:style>
  <w:style w:type="character" w:customStyle="1" w:styleId="42">
    <w:name w:val="Subtle Reference"/>
    <w:basedOn w:val="25"/>
    <w:semiHidden/>
    <w:qFormat/>
    <w:uiPriority w:val="31"/>
    <w:rPr>
      <w:smallCaps/>
      <w:color w:val="auto"/>
      <w:u w:val="single"/>
    </w:rPr>
  </w:style>
  <w:style w:type="character" w:customStyle="1" w:styleId="43">
    <w:name w:val="Intense Reference"/>
    <w:basedOn w:val="25"/>
    <w:semiHidden/>
    <w:uiPriority w:val="32"/>
    <w:rPr>
      <w:b/>
      <w:bCs/>
      <w:smallCaps/>
      <w:color w:val="auto"/>
      <w:spacing w:val="5"/>
      <w:u w:val="single"/>
    </w:rPr>
  </w:style>
  <w:style w:type="character" w:customStyle="1" w:styleId="44">
    <w:name w:val="Intense Emphasis"/>
    <w:basedOn w:val="25"/>
    <w:semiHidden/>
    <w:unhideWhenUsed/>
    <w:qFormat/>
    <w:uiPriority w:val="21"/>
    <w:rPr>
      <w:b/>
      <w:bCs/>
      <w:i/>
      <w:iCs/>
      <w:color w:val="auto"/>
    </w:rPr>
  </w:style>
  <w:style w:type="character" w:customStyle="1" w:styleId="45">
    <w:name w:val="Header Char"/>
    <w:basedOn w:val="25"/>
    <w:link w:val="16"/>
    <w:qFormat/>
    <w:uiPriority w:val="99"/>
  </w:style>
  <w:style w:type="character" w:customStyle="1" w:styleId="46">
    <w:name w:val="Footer Char"/>
    <w:basedOn w:val="25"/>
    <w:link w:val="15"/>
    <w:qFormat/>
    <w:uiPriority w:val="99"/>
  </w:style>
  <w:style w:type="character" w:styleId="47">
    <w:name w:val="Placeholder Text"/>
    <w:basedOn w:val="25"/>
    <w:semiHidden/>
    <w:uiPriority w:val="99"/>
    <w:rPr>
      <w:color w:val="808080"/>
    </w:rPr>
  </w:style>
  <w:style w:type="character" w:customStyle="1" w:styleId="48">
    <w:name w:val="Balloon Text Char"/>
    <w:basedOn w:val="25"/>
    <w:link w:val="14"/>
    <w:semiHidden/>
    <w:uiPriority w:val="99"/>
    <w:rPr>
      <w:rFonts w:ascii="Tahoma" w:hAnsi="Tahoma" w:cs="Tahoma"/>
      <w:sz w:val="16"/>
      <w:szCs w:val="16"/>
    </w:rPr>
  </w:style>
  <w:style w:type="character" w:customStyle="1" w:styleId="49">
    <w:name w:val="Comment Text Char"/>
    <w:basedOn w:val="25"/>
    <w:link w:val="13"/>
    <w:semiHidden/>
    <w:uiPriority w:val="99"/>
    <w:rPr>
      <w:lang w:val="en-GB"/>
    </w:rPr>
  </w:style>
  <w:style w:type="character" w:customStyle="1" w:styleId="50">
    <w:name w:val="Comment Subject Char"/>
    <w:basedOn w:val="49"/>
    <w:link w:val="22"/>
    <w:semiHidden/>
    <w:uiPriority w:val="99"/>
    <w:rPr>
      <w:b/>
      <w:bCs/>
      <w:lang w:val="en-GB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6.xml"/><Relationship Id="rId12" Type="http://schemas.openxmlformats.org/officeDocument/2006/relationships/customXml" Target="../customXml/item5.xml"/><Relationship Id="rId11" Type="http://schemas.openxmlformats.org/officeDocument/2006/relationships/customXml" Target="../customXml/item4.xml"/><Relationship Id="rId10" Type="http://schemas.openxmlformats.org/officeDocument/2006/relationships/customXml" Target="../customXml/item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Brandic\Word\Templates\Base.dotx" TargetMode="External"/></Relationships>
</file>

<file path=word/theme/theme1.xml><?xml version="1.0" encoding="utf-8"?>
<a:theme xmlns:a="http://schemas.openxmlformats.org/drawingml/2006/main" name="Office Theme">
  <a:themeElements>
    <a:clrScheme name="SR Excel">
      <a:dk1>
        <a:srgbClr val="000000"/>
      </a:dk1>
      <a:lt1>
        <a:sysClr val="window" lastClr="FFFFFF"/>
      </a:lt1>
      <a:dk2>
        <a:srgbClr val="455F55"/>
      </a:dk2>
      <a:lt2>
        <a:srgbClr val="D8DFDD"/>
      </a:lt2>
      <a:accent1>
        <a:srgbClr val="627D77"/>
      </a:accent1>
      <a:accent2>
        <a:srgbClr val="899E99"/>
      </a:accent2>
      <a:accent3>
        <a:srgbClr val="E84067"/>
      </a:accent3>
      <a:accent4>
        <a:srgbClr val="984CAD"/>
      </a:accent4>
      <a:accent5>
        <a:srgbClr val="4B7ACD"/>
      </a:accent5>
      <a:accent6>
        <a:srgbClr val="409B67"/>
      </a:accent6>
      <a:hlink>
        <a:srgbClr val="0000FF"/>
      </a:hlink>
      <a:folHlink>
        <a:srgbClr val="800080"/>
      </a:folHlink>
    </a:clrScheme>
    <a:fontScheme name="Swiss Re">
      <a:majorFont>
        <a:latin typeface="SwissReSans Light"/>
        <a:ea typeface=""/>
        <a:cs typeface=""/>
      </a:majorFont>
      <a:minorFont>
        <a:latin typeface="SwissRe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5DAB27C445DE41B8069B21D8E2193F" ma:contentTypeVersion="1" ma:contentTypeDescription="Create a new document." ma:contentTypeScope="" ma:versionID="cac17f6a8d98791e77e80cebdead1857">
  <xsd:schema xmlns:xsd="http://www.w3.org/2001/XMLSchema" xmlns:xs="http://www.w3.org/2001/XMLSchema" xmlns:p="http://schemas.microsoft.com/office/2006/metadata/properties" xmlns:ns2="d6b3294d-d0ac-402f-8738-58b01d6ec124" xmlns:ns3="5f862409-672a-4a62-8503-9a43510b2352" targetNamespace="http://schemas.microsoft.com/office/2006/metadata/properties" ma:root="true" ma:fieldsID="29db3fc01f2884865ee42210db011982" ns2:_="" ns3:_="">
    <xsd:import namespace="d6b3294d-d0ac-402f-8738-58b01d6ec124"/>
    <xsd:import namespace="5f862409-672a-4a62-8503-9a43510b235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b3294d-d0ac-402f-8738-58b01d6ec12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862409-672a-4a62-8503-9a43510b235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6b3294d-d0ac-402f-8738-58b01d6ec124">CCC@c724a775-9f61-49cd-8162-719ccfbef719</_dlc_DocId>
    <_dlc_DocIdUrl xmlns="d6b3294d-d0ac-402f-8738-58b01d6ec124">
      <Url>https://atticus.swissre.com/sites/ReinsuranceAsia/_layouts/15/DocIdRedir.aspx?ID=CCC%40c724a775-9f61-49cd-8162-719ccfbef719</Url>
      <Description>CCC@c724a775-9f61-49cd-8162-719ccfbef719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0C53D50-6DA7-401E-963C-2AF630A4ACE1}">
  <ds:schemaRefs/>
</ds:datastoreItem>
</file>

<file path=customXml/itemProps3.xml><?xml version="1.0" encoding="utf-8"?>
<ds:datastoreItem xmlns:ds="http://schemas.openxmlformats.org/officeDocument/2006/customXml" ds:itemID="{0CBB0428-00ED-424E-8822-FD8CDE37E1E5}">
  <ds:schemaRefs/>
</ds:datastoreItem>
</file>

<file path=customXml/itemProps4.xml><?xml version="1.0" encoding="utf-8"?>
<ds:datastoreItem xmlns:ds="http://schemas.openxmlformats.org/officeDocument/2006/customXml" ds:itemID="{594DBD16-FD68-402F-A802-71677F44E526}">
  <ds:schemaRefs/>
</ds:datastoreItem>
</file>

<file path=customXml/itemProps5.xml><?xml version="1.0" encoding="utf-8"?>
<ds:datastoreItem xmlns:ds="http://schemas.openxmlformats.org/officeDocument/2006/customXml" ds:itemID="{D7E90631-7711-447D-BC49-AC48F083E266}">
  <ds:schemaRefs/>
</ds:datastoreItem>
</file>

<file path=customXml/itemProps6.xml><?xml version="1.0" encoding="utf-8"?>
<ds:datastoreItem xmlns:ds="http://schemas.openxmlformats.org/officeDocument/2006/customXml" ds:itemID="{C9D9FAEA-23E5-4ADE-AE8E-0EE6D87706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Base</Template>
  <Pages>3</Pages>
  <Words>105</Words>
  <Characters>605</Characters>
  <Lines>5</Lines>
  <Paragraphs>1</Paragraphs>
  <TotalTime>2</TotalTime>
  <ScaleCrop>false</ScaleCrop>
  <LinksUpToDate>false</LinksUpToDate>
  <CharactersWithSpaces>709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2018-02-27T06:37:00Z</dcterms:created>
  <dc:creator>Tara Wang</dc:creator>
  <cp:lastModifiedBy>webfoss</cp:lastModifiedBy>
  <cp:lastPrinted>2010-03-17T10:14:00Z</cp:lastPrinted>
  <dcterms:modified xsi:type="dcterms:W3CDTF">2019-04-12T10:30:55Z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randicID">
    <vt:lpwstr>SR</vt:lpwstr>
  </property>
  <property fmtid="{D5CDD505-2E9C-101B-9397-08002B2CF9AE}" pid="3" name="DocTypeID">
    <vt:i4>0</vt:i4>
  </property>
  <property fmtid="{D5CDD505-2E9C-101B-9397-08002B2CF9AE}" pid="4" name="TemplateVersion">
    <vt:i4>1000</vt:i4>
  </property>
  <property fmtid="{D5CDD505-2E9C-101B-9397-08002B2CF9AE}" pid="5" name="Language">
    <vt:i4>1033</vt:i4>
  </property>
  <property fmtid="{D5CDD505-2E9C-101B-9397-08002B2CF9AE}" pid="6" name="ContentTypeId">
    <vt:lpwstr>0x010100FD5DAB27C445DE41B8069B21D8E2193F</vt:lpwstr>
  </property>
  <property fmtid="{D5CDD505-2E9C-101B-9397-08002B2CF9AE}" pid="7" name="_dlc_DocIdItemGuid">
    <vt:lpwstr>c724a775-9f61-49cd-8162-719ccfbef719</vt:lpwstr>
  </property>
  <property fmtid="{D5CDD505-2E9C-101B-9397-08002B2CF9AE}" pid="8" name="KSOProductBuildVer">
    <vt:lpwstr>2052-11.1.0.8527</vt:lpwstr>
  </property>
</Properties>
</file>